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5750" w:type="dxa"/>
        <w:jc w:val="start"/>
        <w:tblInd w:w="-1602" w:type="dxa"/>
        <w:tblLayout w:type="fixed"/>
        <w:tblCellMar>
          <w:top w:w="0" w:type="dxa"/>
          <w:start w:w="108" w:type="dxa"/>
          <w:bottom w:w="0" w:type="dxa"/>
          <w:end w:w="108" w:type="dxa"/>
        </w:tblCellMar>
      </w:tblPr>
      <w:tblGrid>
        <w:gridCol w:w="2430"/>
        <w:gridCol w:w="2340"/>
        <w:gridCol w:w="2430"/>
        <w:gridCol w:w="2070"/>
        <w:gridCol w:w="2070"/>
        <w:gridCol w:w="2160"/>
        <w:gridCol w:w="2250"/>
      </w:tblGrid>
      <w:tr>
        <w:trPr>
          <w:trHeight w:val="3950" w:hRule="atLeast"/>
        </w:trPr>
        <w:tc>
          <w:tcPr>
            <w:tcW w:w="243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BodyText"/>
              <w:rPr/>
            </w:pPr>
            <w:r>
              <w:rPr/>
            </w:r>
          </w:p>
          <w:p>
            <w:pPr>
              <w:pStyle w:val="BodyText"/>
              <w:rPr/>
            </w:pPr>
            <w:r>
              <w:rPr/>
            </w:r>
          </w:p>
          <w:p>
            <w:pPr>
              <w:pStyle w:val="BodyText"/>
              <w:rPr/>
            </w:pPr>
            <w:r>
              <w:rPr/>
            </w:r>
          </w:p>
          <w:p>
            <w:pPr>
              <w:pStyle w:val="BodyText"/>
              <w:rPr/>
            </w:pPr>
            <w:r>
              <w:rPr/>
              <w:t>Reform Coalition Proposal</w:t>
            </w:r>
          </w:p>
          <w:p>
            <w:pPr>
              <w:pStyle w:val="Normal"/>
              <w:rPr/>
            </w:pPr>
            <w:r>
              <w:rPr/>
              <w:t xml:space="preserve">Move towards a pricing system that accurately reflects realities of grid congestion and locational prices.Immediate approach is to use CONG with focus on market pricing.  a) Redefine current zones or split whenever intra-zonal congestion is commercially significant.  b) establish hubs inside Calif and identify which buses make up that hub.  c)  post hub prices which are the average of the zonal prices.  d)  FTRs will have a reference bus origin and destination. </w:t>
            </w:r>
          </w:p>
          <w:p>
            <w:pPr>
              <w:pStyle w:val="Normal"/>
              <w:rPr/>
            </w:pPr>
            <w:r>
              <w:rPr/>
              <w:t xml:space="preserve">e) FTRs will be defined on a – point – to – point basis, f) FTRs will be defined as obligations and made available for purchase in the FTR auctions. Near-term approach would continue to split zones as required.  a)  ISO to upgrade commercial model to load flow model which will calculate LMP at each bus.  b) Post LMPs for generators and significant load locations.  c) ISO to continue using zones and inter-zonal cong prices for settlements but zonal price would be weighted avg of LMP within zones.  d) Mark Part not required to balance schedules for cong. </w:t>
            </w:r>
          </w:p>
          <w:p>
            <w:pPr>
              <w:pStyle w:val="Normal"/>
              <w:rPr/>
            </w:pPr>
            <w:r>
              <w:rPr/>
              <w:t xml:space="preserve">The real time market will be settled based on LMPs. SCs would be provided the option to settle based on LMPs or the zonal price. This is a very questionable design element that needs to be examined very carefully. </w:t>
            </w:r>
          </w:p>
          <w:p>
            <w:pPr>
              <w:pStyle w:val="Normal"/>
              <w:numPr>
                <w:ilvl w:val="0"/>
                <w:numId w:val="4"/>
              </w:numPr>
              <w:rPr/>
            </w:pPr>
            <w:r>
              <w:rPr/>
              <w:t>Loctional Market Power mitigated through bid caps and/or CFD or FTR options</w:t>
            </w:r>
          </w:p>
          <w:p>
            <w:pPr>
              <w:pStyle w:val="Normal"/>
              <w:numPr>
                <w:ilvl w:val="0"/>
                <w:numId w:val="4"/>
              </w:numPr>
              <w:rPr/>
            </w:pPr>
            <w:r>
              <w:rPr/>
              <w:t>Support one of four “pillars”, design should use second-price auction and marginal cost pricing for transmission.</w:t>
            </w:r>
          </w:p>
          <w:p>
            <w:pPr>
              <w:pStyle w:val="Normal"/>
              <w:numPr>
                <w:ilvl w:val="0"/>
                <w:numId w:val="4"/>
              </w:numPr>
              <w:rPr/>
            </w:pPr>
            <w:r>
              <w:rPr/>
              <w:t xml:space="preserve">Proposal is incompatible with the ISO’s proposal. </w:t>
            </w:r>
          </w:p>
          <w:p>
            <w:pPr>
              <w:pStyle w:val="Normal"/>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IEP Proposal</w:t>
            </w:r>
          </w:p>
          <w:p>
            <w:pPr>
              <w:pStyle w:val="Normal"/>
              <w:rPr/>
            </w:pPr>
            <w:r>
              <w:rPr/>
            </w:r>
          </w:p>
          <w:p>
            <w:pPr>
              <w:pStyle w:val="Normal"/>
              <w:rPr/>
            </w:pPr>
            <w:r>
              <w:rPr/>
            </w:r>
          </w:p>
          <w:p>
            <w:pPr>
              <w:pStyle w:val="Normal"/>
              <w:numPr>
                <w:ilvl w:val="0"/>
                <w:numId w:val="5"/>
              </w:numPr>
              <w:rPr/>
            </w:pPr>
            <w:r>
              <w:rPr/>
              <w:t>Supports structural modifications to the existing design.</w:t>
            </w:r>
          </w:p>
          <w:p>
            <w:pPr>
              <w:pStyle w:val="Normal"/>
              <w:numPr>
                <w:ilvl w:val="0"/>
                <w:numId w:val="5"/>
              </w:numPr>
              <w:rPr/>
            </w:pPr>
            <w:r>
              <w:rPr/>
              <w:t>Improve LMP signals through more zones, modification of zonal creation criteria (include RMR in cost calculation of 5%) and annual review of zonal configuration.</w:t>
            </w:r>
          </w:p>
          <w:p>
            <w:pPr>
              <w:pStyle w:val="Normal"/>
              <w:numPr>
                <w:ilvl w:val="0"/>
                <w:numId w:val="5"/>
              </w:numPr>
              <w:rPr/>
            </w:pPr>
            <w:r>
              <w:rPr/>
              <w:t>Improving market power mitigation by transition to new zones, shift cong mngmt from AZCM to EZCM, implement AZCM where it occurs, specific rules for congestion inc and dec bids and declare ‘Market Anomaly’ when ISO perceives exercise of Market Power.</w:t>
            </w:r>
          </w:p>
          <w:p>
            <w:pPr>
              <w:pStyle w:val="Normal"/>
              <w:numPr>
                <w:ilvl w:val="0"/>
                <w:numId w:val="5"/>
              </w:numPr>
              <w:rPr/>
            </w:pPr>
            <w:r>
              <w:rPr/>
              <w:t>FERC would settle disputes for market power after the fact.</w:t>
            </w:r>
          </w:p>
          <w:p>
            <w:pPr>
              <w:pStyle w:val="Normal"/>
              <w:numPr>
                <w:ilvl w:val="0"/>
                <w:numId w:val="5"/>
              </w:numPr>
              <w:rPr/>
            </w:pPr>
            <w:r>
              <w:rPr/>
              <w:t xml:space="preserve">The proposal proposes to include the RMR dispatch in the congestion management. </w:t>
            </w:r>
          </w:p>
          <w:p>
            <w:pPr>
              <w:pStyle w:val="Normal"/>
              <w:numPr>
                <w:ilvl w:val="0"/>
                <w:numId w:val="5"/>
              </w:numPr>
              <w:rPr/>
            </w:pPr>
            <w:r>
              <w:rPr/>
              <w:t>Annual auction of FTRs associated with all congested interzonal interfaces.</w:t>
            </w:r>
          </w:p>
          <w:p>
            <w:pPr>
              <w:pStyle w:val="Normal"/>
              <w:numPr>
                <w:ilvl w:val="0"/>
                <w:numId w:val="5"/>
              </w:numPr>
              <w:rPr/>
            </w:pPr>
            <w:r>
              <w:rPr/>
              <w:t>Proposal is similar to the ISO’s proposal. The ISO should be able to accommodate this proposal.</w:t>
            </w:r>
          </w:p>
        </w:tc>
        <w:tc>
          <w:tcPr>
            <w:tcW w:w="2430"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WPTF Proposal</w:t>
            </w:r>
          </w:p>
          <w:p>
            <w:pPr>
              <w:pStyle w:val="Normal"/>
              <w:rPr/>
            </w:pPr>
            <w:r>
              <w:rPr/>
            </w:r>
          </w:p>
          <w:p>
            <w:pPr>
              <w:pStyle w:val="Normal"/>
              <w:rPr/>
            </w:pPr>
            <w:r>
              <w:rPr/>
            </w:r>
          </w:p>
          <w:p>
            <w:pPr>
              <w:pStyle w:val="Normal"/>
              <w:numPr>
                <w:ilvl w:val="0"/>
                <w:numId w:val="6"/>
              </w:numPr>
              <w:rPr/>
            </w:pPr>
            <w:r>
              <w:rPr/>
              <w:t>Interim solution to mitigate exercise of market power would be to have ISO continue to run CONG to allocate transmission rights and determine transmission prices on congested paths.  a) 100% of ATC is released as FTRs  b) Location specific price caps for incs and price floors for decs apply only to resources having the ability to exercise market power.  Caps for INCs are based on costs plus a location based capacity adder. The capacity adder equals the annual carrying charge of transmission facility upgrades.  The floors for DECs are cost based.  c) resources subject to bid caps must offer a standing bid for any unscheduled capacity in the forward market to any SC at the same terms and conditions the resource would bid energy to the ISO. Unclear how this can be achieved. Need a lot more design details to complete this aspect of the proposal.</w:t>
            </w:r>
          </w:p>
          <w:p>
            <w:pPr>
              <w:pStyle w:val="Normal"/>
              <w:numPr>
                <w:ilvl w:val="0"/>
                <w:numId w:val="6"/>
              </w:numPr>
              <w:rPr/>
            </w:pPr>
            <w:r>
              <w:rPr/>
              <w:t>Keep the number of locations to a reasonable minimum.</w:t>
            </w:r>
          </w:p>
          <w:p>
            <w:pPr>
              <w:pStyle w:val="Normal"/>
              <w:numPr>
                <w:ilvl w:val="0"/>
                <w:numId w:val="6"/>
              </w:numPr>
              <w:rPr/>
            </w:pPr>
            <w:r>
              <w:rPr/>
              <w:t>Consider a flowgate approach as opposed to a ‘zonal’ approach.</w:t>
            </w:r>
          </w:p>
          <w:p>
            <w:pPr>
              <w:pStyle w:val="Normal"/>
              <w:numPr>
                <w:ilvl w:val="0"/>
                <w:numId w:val="6"/>
              </w:numPr>
              <w:rPr/>
            </w:pPr>
            <w:r>
              <w:rPr/>
              <w:t>This approach satisfies the four ‘pillars’ plus one additional item which is the full release of FTRs as a scheduling right, but not an obligation.</w:t>
            </w:r>
          </w:p>
          <w:p>
            <w:pPr>
              <w:pStyle w:val="Normal"/>
              <w:numPr>
                <w:ilvl w:val="0"/>
                <w:numId w:val="6"/>
              </w:numPr>
              <w:rPr/>
            </w:pPr>
            <w:r>
              <w:rPr/>
              <w:t>This proposal is compatible with the ISO’s proposal. There is substantial room for cooperation and a good chance to get WPTF to support the ISO’s proposal.</w:t>
            </w:r>
          </w:p>
        </w:tc>
        <w:tc>
          <w:tcPr>
            <w:tcW w:w="2070"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CEC Proposal</w:t>
            </w:r>
          </w:p>
          <w:p>
            <w:pPr>
              <w:pStyle w:val="Normal"/>
              <w:rPr/>
            </w:pPr>
            <w:r>
              <w:rPr/>
            </w:r>
          </w:p>
          <w:p>
            <w:pPr>
              <w:pStyle w:val="Normal"/>
              <w:rPr/>
            </w:pPr>
            <w:r>
              <w:rPr/>
            </w:r>
          </w:p>
          <w:p>
            <w:pPr>
              <w:pStyle w:val="Normal"/>
              <w:numPr>
                <w:ilvl w:val="0"/>
                <w:numId w:val="3"/>
              </w:numPr>
              <w:rPr/>
            </w:pPr>
            <w:r>
              <w:rPr/>
              <w:t>Basic concept of this proposal is to resolve congestion and let the market provide the equivalent of RMR by establishing markets for Local Scheduling Contracts (LSCs).  A LSC makes a resource or load immune to the effects of transmission congestion since the load or resource is assured of being able to schedule in the day ahead market and pay or receive the statewide unconstrained market clearing price (UMCP)</w:t>
            </w:r>
          </w:p>
          <w:p>
            <w:pPr>
              <w:pStyle w:val="Normal"/>
              <w:numPr>
                <w:ilvl w:val="0"/>
                <w:numId w:val="3"/>
              </w:numPr>
              <w:rPr/>
            </w:pPr>
            <w:r>
              <w:rPr/>
              <w:t>Load and resources at a hub do not make the LSCs directly with each other but are bid into an anonymous exchange managed by the ISO or PX.  A hub may form at any node on the system where demand for LSCs exists.</w:t>
            </w:r>
          </w:p>
          <w:p>
            <w:pPr>
              <w:pStyle w:val="Normal"/>
              <w:numPr>
                <w:ilvl w:val="0"/>
                <w:numId w:val="3"/>
              </w:numPr>
              <w:rPr/>
            </w:pPr>
            <w:r>
              <w:rPr/>
              <w:t>With the LSC system the ISO would evaluate and adjust the initial day ahead schedules but load and resources can only be adjusted downward and PX prices are not adjusted at all.</w:t>
            </w:r>
          </w:p>
          <w:p>
            <w:pPr>
              <w:pStyle w:val="Normal"/>
              <w:numPr>
                <w:ilvl w:val="0"/>
                <w:numId w:val="3"/>
              </w:numPr>
              <w:rPr/>
            </w:pPr>
            <w:r>
              <w:rPr/>
              <w:t>The real time market, managed by the ISO, has full nodal/market pricing to reflect locational energy values.</w:t>
            </w:r>
          </w:p>
        </w:tc>
        <w:tc>
          <w:tcPr>
            <w:tcW w:w="2070"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APX Proposal</w:t>
            </w:r>
          </w:p>
          <w:p>
            <w:pPr>
              <w:pStyle w:val="Normal"/>
              <w:rPr/>
            </w:pPr>
            <w:r>
              <w:rPr/>
            </w:r>
          </w:p>
          <w:p>
            <w:pPr>
              <w:pStyle w:val="Normal"/>
              <w:rPr/>
            </w:pPr>
            <w:r>
              <w:rPr/>
            </w:r>
          </w:p>
          <w:p>
            <w:pPr>
              <w:pStyle w:val="Normal"/>
              <w:numPr>
                <w:ilvl w:val="0"/>
                <w:numId w:val="8"/>
              </w:numPr>
              <w:rPr/>
            </w:pPr>
            <w:r>
              <w:rPr/>
              <w:t>This proposal is based on the flowgate approach.</w:t>
            </w:r>
          </w:p>
          <w:p>
            <w:pPr>
              <w:pStyle w:val="Normal"/>
              <w:numPr>
                <w:ilvl w:val="0"/>
                <w:numId w:val="8"/>
              </w:numPr>
              <w:rPr/>
            </w:pPr>
            <w:r>
              <w:rPr/>
              <w:t>SCs observe projected flows across each congestion interface (inter and intra) by applying published flow factors to balanced schedules. Unclear how often and under what conditions these factors are updated.</w:t>
            </w:r>
          </w:p>
          <w:p>
            <w:pPr>
              <w:pStyle w:val="Normal"/>
              <w:numPr>
                <w:ilvl w:val="0"/>
                <w:numId w:val="8"/>
              </w:numPr>
              <w:rPr/>
            </w:pPr>
            <w:r>
              <w:rPr/>
              <w:t>SCs buy and sell rights at each interface to match schedule according to the flow factors published by the ISO.</w:t>
            </w:r>
          </w:p>
          <w:p>
            <w:pPr>
              <w:pStyle w:val="Normal"/>
              <w:numPr>
                <w:ilvl w:val="0"/>
                <w:numId w:val="8"/>
              </w:numPr>
              <w:rPr/>
            </w:pPr>
            <w:r>
              <w:rPr/>
              <w:t>CAISO does nothing if #2 and #3, above, are precise.  ISO takes care of new information and problems created since time of schedules.</w:t>
            </w:r>
          </w:p>
          <w:p>
            <w:pPr>
              <w:pStyle w:val="Normal"/>
              <w:numPr>
                <w:ilvl w:val="0"/>
                <w:numId w:val="8"/>
              </w:numPr>
              <w:rPr/>
            </w:pPr>
            <w:r>
              <w:rPr/>
              <w:t>ISO handles rights for the SCs that choose not to buy rights in the forward market.</w:t>
            </w:r>
          </w:p>
          <w:p>
            <w:pPr>
              <w:pStyle w:val="Normal"/>
              <w:numPr>
                <w:ilvl w:val="0"/>
                <w:numId w:val="8"/>
              </w:numPr>
              <w:rPr/>
            </w:pPr>
            <w:r>
              <w:rPr/>
              <w:t xml:space="preserve">The ISO is mainly involved in relieving congestion in real time. </w:t>
            </w:r>
          </w:p>
          <w:p>
            <w:pPr>
              <w:pStyle w:val="Normal"/>
              <w:numPr>
                <w:ilvl w:val="0"/>
                <w:numId w:val="8"/>
              </w:numPr>
              <w:rPr/>
            </w:pPr>
            <w:r>
              <w:rPr/>
              <w:t>Transmission markets clear continuously up to real time through a continuous bidding process.</w:t>
            </w:r>
          </w:p>
          <w:p>
            <w:pPr>
              <w:pStyle w:val="Normal"/>
              <w:numPr>
                <w:ilvl w:val="0"/>
                <w:numId w:val="8"/>
              </w:numPr>
              <w:rPr/>
            </w:pPr>
            <w:r>
              <w:rPr/>
              <w:t>Unclear when the transition from SC-self managed congestion to real time congestion takes place. The proposal does not address this issue.</w:t>
            </w:r>
          </w:p>
          <w:p>
            <w:pPr>
              <w:pStyle w:val="Normal"/>
              <w:numPr>
                <w:ilvl w:val="0"/>
                <w:numId w:val="8"/>
              </w:numPr>
              <w:rPr/>
            </w:pPr>
            <w:r>
              <w:rPr/>
              <w:t xml:space="preserve">Accommodation of this proposal will require structural changes to the ISO’s proposal. </w:t>
            </w:r>
          </w:p>
          <w:p>
            <w:pPr>
              <w:pStyle w:val="Normal"/>
              <w:numPr>
                <w:ilvl w:val="0"/>
                <w:numId w:val="8"/>
              </w:numPr>
              <w:rPr/>
            </w:pPr>
            <w:r>
              <w:rPr/>
              <w:t xml:space="preserve">The essence of the APX proposal is a combination of a flow-based model with physical transmission rights. </w:t>
            </w:r>
          </w:p>
          <w:p>
            <w:pPr>
              <w:pStyle w:val="Normal"/>
              <w:numPr>
                <w:ilvl w:val="0"/>
                <w:numId w:val="8"/>
              </w:numPr>
              <w:rPr/>
            </w:pPr>
            <w:r>
              <w:rPr/>
              <w:t xml:space="preserve">The APX proposal does not address issues related to RMRs. </w:t>
            </w:r>
          </w:p>
          <w:p>
            <w:pPr>
              <w:pStyle w:val="Normal"/>
              <w:numPr>
                <w:ilvl w:val="0"/>
                <w:numId w:val="8"/>
              </w:numPr>
              <w:rPr/>
            </w:pPr>
            <w:r>
              <w:rPr/>
              <w:t>The APX proposal does not address issues related to market power.</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BodyText"/>
              <w:rPr/>
            </w:pPr>
            <w:r>
              <w:rPr/>
            </w:r>
          </w:p>
          <w:p>
            <w:pPr>
              <w:pStyle w:val="BodyText"/>
              <w:rPr/>
            </w:pPr>
            <w:r>
              <w:rPr/>
            </w:r>
          </w:p>
          <w:p>
            <w:pPr>
              <w:pStyle w:val="BodyText"/>
              <w:rPr/>
            </w:pPr>
            <w:r>
              <w:rPr/>
            </w:r>
          </w:p>
          <w:p>
            <w:pPr>
              <w:pStyle w:val="BodyText"/>
              <w:rPr/>
            </w:pPr>
            <w:r>
              <w:rPr/>
              <w:t>Zonal Forward / ISO Proposal</w:t>
            </w:r>
          </w:p>
          <w:p>
            <w:pPr>
              <w:pStyle w:val="BodyText"/>
              <w:rPr/>
            </w:pPr>
            <w:r>
              <w:rPr/>
            </w:r>
          </w:p>
          <w:p>
            <w:pPr>
              <w:pStyle w:val="Normal"/>
              <w:numPr>
                <w:ilvl w:val="0"/>
                <w:numId w:val="2"/>
              </w:numPr>
              <w:rPr/>
            </w:pPr>
            <w:r>
              <w:rPr/>
              <w:t xml:space="preserve">Zonal model with forward markets for both inter and intra zonal congestion management.  </w:t>
            </w:r>
          </w:p>
          <w:p>
            <w:pPr>
              <w:pStyle w:val="Normal"/>
              <w:numPr>
                <w:ilvl w:val="0"/>
                <w:numId w:val="2"/>
              </w:numPr>
              <w:rPr/>
            </w:pPr>
            <w:r>
              <w:rPr/>
              <w:t>New definition of zonal creation to ensure market efficiency and proper economic signals.</w:t>
            </w:r>
          </w:p>
          <w:p>
            <w:pPr>
              <w:pStyle w:val="Normal"/>
              <w:numPr>
                <w:ilvl w:val="0"/>
                <w:numId w:val="2"/>
              </w:numPr>
              <w:rPr/>
            </w:pPr>
            <w:r>
              <w:rPr/>
              <w:t>RMR Reform</w:t>
            </w:r>
          </w:p>
          <w:p>
            <w:pPr>
              <w:pStyle w:val="Normal"/>
              <w:numPr>
                <w:ilvl w:val="0"/>
                <w:numId w:val="2"/>
              </w:numPr>
              <w:rPr/>
            </w:pPr>
            <w:r>
              <w:rPr/>
              <w:t>Market Power Mitigation-method for paying resources within non-competitive zones</w:t>
            </w:r>
          </w:p>
          <w:p>
            <w:pPr>
              <w:pStyle w:val="Normal"/>
              <w:numPr>
                <w:ilvl w:val="0"/>
                <w:numId w:val="2"/>
              </w:numPr>
              <w:rPr/>
            </w:pPr>
            <w:r>
              <w:rPr/>
              <w:t>Expand adjustment bid market to include adjustment bids on inter-SC trades and publication of unused adjust bids.</w:t>
            </w:r>
          </w:p>
          <w:p>
            <w:pPr>
              <w:pStyle w:val="Normal"/>
              <w:numPr>
                <w:ilvl w:val="0"/>
                <w:numId w:val="2"/>
              </w:numPr>
              <w:rPr/>
            </w:pPr>
            <w:r>
              <w:rPr/>
              <w:t>Make transmission available on firm, non-firm and recallable basis.</w:t>
            </w:r>
          </w:p>
          <w:p>
            <w:pPr>
              <w:pStyle w:val="Normal"/>
              <w:numPr>
                <w:ilvl w:val="0"/>
                <w:numId w:val="2"/>
              </w:numPr>
              <w:rPr/>
            </w:pPr>
            <w:r>
              <w:rPr/>
              <w:t>Integration of CONG and ASM for transmission allocation</w:t>
            </w:r>
          </w:p>
          <w:p>
            <w:pPr>
              <w:pStyle w:val="Normal"/>
              <w:numPr>
                <w:ilvl w:val="0"/>
                <w:numId w:val="2"/>
              </w:numPr>
              <w:rPr/>
            </w:pPr>
            <w:r>
              <w:rPr/>
              <w:t>Facilitation of A/S and SE exports.</w:t>
            </w:r>
          </w:p>
          <w:p>
            <w:pPr>
              <w:pStyle w:val="Normal"/>
              <w:numPr>
                <w:ilvl w:val="0"/>
                <w:numId w:val="2"/>
              </w:numPr>
              <w:rPr/>
            </w:pPr>
            <w:r>
              <w:rPr/>
              <w:t>Use of the commercial network model.</w:t>
            </w:r>
          </w:p>
          <w:p>
            <w:pPr>
              <w:pStyle w:val="Normal"/>
              <w:numPr>
                <w:ilvl w:val="0"/>
                <w:numId w:val="2"/>
              </w:numPr>
              <w:rPr/>
            </w:pPr>
            <w:r>
              <w:rPr/>
              <w:t>Use of a looped zonal configuration and power distribution coefficients (shift factors).</w:t>
            </w:r>
          </w:p>
          <w:p>
            <w:pPr>
              <w:pStyle w:val="Normal"/>
              <w:numPr>
                <w:ilvl w:val="0"/>
                <w:numId w:val="2"/>
              </w:numPr>
              <w:rPr/>
            </w:pPr>
            <w:r>
              <w:rPr/>
              <w:t>Review current  FTR design and propose changes based on initial year’s experience, including releasing 100% of the ATC on each path..</w:t>
            </w:r>
          </w:p>
          <w:p>
            <w:pPr>
              <w:pStyle w:val="Normal"/>
              <w:numPr>
                <w:ilvl w:val="0"/>
                <w:numId w:val="2"/>
              </w:numPr>
              <w:rPr/>
            </w:pPr>
            <w:r>
              <w:rPr/>
              <w:t>Market Power Mitigation options include; a) flat rate for dispatch of resources in non-competitive zones  b)cost based rate plus an adder for dispatched resources c)market based index plus an adder</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BodyText"/>
              <w:rPr/>
            </w:pPr>
            <w:r>
              <w:rPr/>
            </w:r>
          </w:p>
          <w:p>
            <w:pPr>
              <w:pStyle w:val="BodyText"/>
              <w:rPr/>
            </w:pPr>
            <w:r>
              <w:rPr/>
            </w:r>
          </w:p>
          <w:p>
            <w:pPr>
              <w:pStyle w:val="BodyText"/>
              <w:rPr/>
            </w:pPr>
            <w:r>
              <w:rPr/>
            </w:r>
          </w:p>
          <w:p>
            <w:pPr>
              <w:pStyle w:val="BodyText"/>
              <w:rPr/>
            </w:pPr>
            <w:r>
              <w:rPr/>
              <w:t>Office of Ratepayer Advocates</w:t>
            </w:r>
          </w:p>
          <w:p>
            <w:pPr>
              <w:pStyle w:val="BodyText"/>
              <w:rPr/>
            </w:pPr>
            <w:r>
              <w:rPr/>
            </w:r>
          </w:p>
          <w:p>
            <w:pPr>
              <w:pStyle w:val="Normal"/>
              <w:numPr>
                <w:ilvl w:val="0"/>
                <w:numId w:val="7"/>
              </w:numPr>
              <w:rPr/>
            </w:pPr>
            <w:r>
              <w:rPr/>
              <w:t>Agrees with most of the ISO proposal with some additions.</w:t>
            </w:r>
          </w:p>
          <w:p>
            <w:pPr>
              <w:pStyle w:val="Normal"/>
              <w:numPr>
                <w:ilvl w:val="0"/>
                <w:numId w:val="7"/>
              </w:numPr>
              <w:rPr/>
            </w:pPr>
            <w:r>
              <w:rPr/>
              <w:t>Ensure that load response enables dispatch based on location, allow customers to react.</w:t>
            </w:r>
          </w:p>
          <w:p>
            <w:pPr>
              <w:pStyle w:val="Normal"/>
              <w:numPr>
                <w:ilvl w:val="0"/>
                <w:numId w:val="7"/>
              </w:numPr>
              <w:rPr/>
            </w:pPr>
            <w:r>
              <w:rPr/>
              <w:t>Mitigate market power in potential new zone by allowing LARS to incent investment, not just RMR</w:t>
            </w:r>
          </w:p>
          <w:p>
            <w:pPr>
              <w:pStyle w:val="Normal"/>
              <w:numPr>
                <w:ilvl w:val="0"/>
                <w:numId w:val="7"/>
              </w:numPr>
              <w:rPr/>
            </w:pPr>
            <w:r>
              <w:rPr/>
              <w:t>Assess value of capacity, then use RFPs for feasible generation, load management and/or transmission.</w:t>
            </w:r>
          </w:p>
        </w:tc>
      </w:tr>
    </w:tbl>
    <w:p>
      <w:pPr>
        <w:pStyle w:val="Normal"/>
        <w:rPr/>
      </w:pPr>
      <w:r>
        <w:rPr/>
      </w:r>
    </w:p>
    <w:sectPr>
      <w:type w:val="nextPage"/>
      <w:pgSz w:orient="landscape" w:w="15840" w:h="12240"/>
      <w:pgMar w:left="1872" w:right="1728"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2000-04-04T19:32:00Z</dcterms:created>
  <dc:creator>JMcClain</dc:creator>
  <dc:description/>
  <dc:language>en-CA</dc:language>
  <cp:lastModifiedBy>MRathie</cp:lastModifiedBy>
  <cp:lastPrinted>2000-04-04T15:01:00Z</cp:lastPrinted>
  <dcterms:modified xsi:type="dcterms:W3CDTF">2000-04-11T16:20:00Z</dcterms:modified>
  <cp:revision>10</cp:revision>
  <dc:subject/>
  <dc:title>Reform Coalition Proposal</dc:title>
</cp:coreProperties>
</file>