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509"/>
        <w:rPr/>
      </w:pPr>
      <w:r>
        <w:rPr/>
        <w:t xml:space="preserve">Proposal </w:t>
      </w:r>
      <w:r>
        <w:rPr/>
        <w:t xml:space="preserve">to meet with senior </w:t>
      </w:r>
      <w:r>
        <w:rPr/>
        <w:t xml:space="preserve">US Government </w:t>
      </w:r>
      <w:r>
        <w:rPr/>
        <w:t>o</w:t>
      </w:r>
      <w:r>
        <w:rPr/>
        <w:t xml:space="preserve">fficials </w:t>
      </w:r>
      <w:r>
        <w:rPr/>
        <w:t xml:space="preserve">to raise </w:t>
      </w:r>
      <w:r>
        <w:rPr/>
        <w:t xml:space="preserve">the </w:t>
      </w:r>
      <w:r>
        <w:rPr/>
        <w:t>p</w:t>
      </w:r>
      <w:r>
        <w:rPr/>
        <w:t xml:space="preserve">rofile of </w:t>
      </w:r>
      <w:r>
        <w:rPr/>
        <w:t>Japanese e</w:t>
      </w:r>
      <w:r>
        <w:rPr/>
        <w:t xml:space="preserve">nergy </w:t>
      </w:r>
      <w:r>
        <w:rPr/>
        <w:t>s</w:t>
      </w:r>
      <w:r>
        <w:rPr/>
        <w:t xml:space="preserve">ector </w:t>
      </w:r>
      <w:r>
        <w:rPr/>
        <w:t>r</w:t>
      </w:r>
      <w:r>
        <w:rPr/>
        <w:t xml:space="preserve">eform in </w:t>
      </w:r>
      <w:r>
        <w:rPr/>
        <w:t>b</w:t>
      </w:r>
      <w:r>
        <w:rPr/>
        <w:t xml:space="preserve">ilateral </w:t>
      </w:r>
      <w:r>
        <w:rPr/>
        <w:t>d</w:t>
      </w:r>
      <w:r>
        <w:rPr/>
        <w:t>iscussions</w:t>
      </w:r>
    </w:p>
    <w:p>
      <w:pPr>
        <w:pStyle w:val="Normal"/>
        <w:rPr>
          <w:sz w:val="21"/>
          <w:lang w:eastAsia="ja-JP"/>
        </w:rPr>
      </w:pPr>
      <w:r>
        <w:rPr>
          <w:sz w:val="21"/>
          <w:lang w:eastAsia="ja-JP"/>
        </w:rPr>
      </w:r>
    </w:p>
    <w:p>
      <w:pPr>
        <w:pStyle w:val="Normal"/>
        <w:rPr>
          <w:sz w:val="21"/>
          <w:lang w:val="en-US" w:eastAsia="ja-JP"/>
        </w:rPr>
      </w:pPr>
      <w:r>
        <w:rPr>
          <w:sz w:val="21"/>
          <w:lang w:val="en-US" w:eastAsia="ja-JP"/>
        </w:rPr>
        <mc:AlternateContent>
          <mc:Choice Requires="wps">
            <w:drawing>
              <wp:anchor behindDoc="1" distT="0" distB="0" distL="114935" distR="114935" simplePos="0" locked="0" layoutInCell="1" allowOverlap="1" relativeHeight="6">
                <wp:simplePos x="0" y="0"/>
                <wp:positionH relativeFrom="column">
                  <wp:posOffset>-76200</wp:posOffset>
                </wp:positionH>
                <wp:positionV relativeFrom="paragraph">
                  <wp:posOffset>135890</wp:posOffset>
                </wp:positionV>
                <wp:extent cx="5486400" cy="1485900"/>
                <wp:effectExtent l="5080" t="5080" r="5715" b="5715"/>
                <wp:wrapNone/>
                <wp:docPr id="1" name=""/>
                <a:graphic xmlns:a="http://schemas.openxmlformats.org/drawingml/2006/main">
                  <a:graphicData uri="http://schemas.microsoft.com/office/word/2010/wordprocessingShape">
                    <wps:wsp>
                      <wps:cNvSpPr/>
                      <wps:spPr>
                        <a:xfrm>
                          <a:off x="0" y="0"/>
                          <a:ext cx="5486400" cy="1486080"/>
                        </a:xfrm>
                        <a:prstGeom prst="roundRect">
                          <a:avLst>
                            <a:gd name="adj" fmla="val 16667"/>
                          </a:avLst>
                        </a:prstGeom>
                        <a:solidFill>
                          <a:srgbClr val="dddddd"/>
                        </a:solidFill>
                        <a:ln w="9360">
                          <a:solidFill>
                            <a:srgbClr val="000000"/>
                          </a:solidFill>
                          <a:miter/>
                        </a:ln>
                      </wps:spPr>
                      <wps:style>
                        <a:lnRef idx="0"/>
                        <a:fillRef idx="0"/>
                        <a:effectRef idx="0"/>
                        <a:fontRef idx="minor"/>
                      </wps:style>
                      <wps:bodyPr/>
                    </wps:wsp>
                  </a:graphicData>
                </a:graphic>
              </wp:anchor>
            </w:drawing>
          </mc:Choice>
          <mc:Fallback>
            <w:pict>
              <v:roundrect id="shape_0" fillcolor="#dddddd" stroked="t" o:allowincell="f" style="position:absolute;margin-left:-6pt;margin-top:10.7pt;width:431.95pt;height:116.95pt;mso-wrap-style:none;v-text-anchor:middle">
                <v:fill o:detectmouseclick="t" type="solid" color2="#222222"/>
                <v:stroke color="black" weight="9360" joinstyle="miter" endcap="flat"/>
                <w10:wrap type="none"/>
              </v:roundrect>
            </w:pict>
          </mc:Fallback>
        </mc:AlternateContent>
      </w:r>
    </w:p>
    <w:p>
      <w:pPr>
        <w:pStyle w:val="Normal"/>
        <w:rPr>
          <w:sz w:val="21"/>
          <w:lang w:eastAsia="ja-JP"/>
        </w:rPr>
      </w:pPr>
      <w:r>
        <w:rPr>
          <w:sz w:val="21"/>
          <w:lang w:eastAsia="ja-JP"/>
        </w:rPr>
      </w:r>
    </w:p>
    <w:p>
      <w:pPr>
        <w:pStyle w:val="Subtitle"/>
        <w:ind w:start="1080" w:end="1349"/>
        <w:rPr/>
      </w:pPr>
      <w:r>
        <w:rPr/>
        <w:t>Proposal</w:t>
      </w:r>
    </w:p>
    <w:p>
      <w:pPr>
        <w:pStyle w:val="Normal"/>
        <w:ind w:start="1080" w:end="1349"/>
        <w:rPr>
          <w:sz w:val="21"/>
          <w:lang w:eastAsia="ja-JP"/>
        </w:rPr>
      </w:pPr>
      <w:r>
        <w:rPr>
          <w:sz w:val="21"/>
          <w:lang w:eastAsia="ja-JP"/>
        </w:rPr>
      </w:r>
    </w:p>
    <w:p>
      <w:pPr>
        <w:pStyle w:val="BlockText"/>
        <w:ind w:start="600" w:end="629"/>
        <w:rPr/>
      </w:pPr>
      <w:r>
        <w:rPr>
          <w:sz w:val="21"/>
        </w:rPr>
        <w:t>B</w:t>
      </w:r>
      <w:r>
        <w:rPr>
          <w:sz w:val="21"/>
        </w:rPr>
        <w:t xml:space="preserve">rief senior US government officials on the importance </w:t>
      </w:r>
      <w:r>
        <w:rPr>
          <w:sz w:val="21"/>
        </w:rPr>
        <w:t xml:space="preserve">to Japan’s economic recovery of rapid and comprehensive reforms to Japan’s energy sector </w:t>
      </w:r>
      <w:r>
        <w:rPr>
          <w:sz w:val="21"/>
        </w:rPr>
        <w:t xml:space="preserve">with </w:t>
      </w:r>
      <w:r>
        <w:rPr>
          <w:sz w:val="21"/>
        </w:rPr>
        <w:t xml:space="preserve">a view to </w:t>
      </w:r>
      <w:r>
        <w:rPr>
          <w:sz w:val="21"/>
        </w:rPr>
        <w:t>raising the profile of energy sector reform in US-Japan bilateral discussions</w:t>
      </w:r>
      <w:r>
        <w:rPr>
          <w:sz w:val="21"/>
        </w:rPr>
        <w:t xml:space="preserve"> </w:t>
      </w:r>
      <w:r>
        <w:rPr>
          <w:sz w:val="21"/>
        </w:rPr>
        <w:t>in the lead up to</w:t>
      </w:r>
      <w:r>
        <w:rPr>
          <w:sz w:val="21"/>
        </w:rPr>
        <w:t xml:space="preserve"> and at </w:t>
      </w:r>
      <w:r>
        <w:rPr>
          <w:sz w:val="21"/>
        </w:rPr>
        <w:t xml:space="preserve">the US-Japan Summit scheduled for June </w:t>
      </w:r>
      <w:r>
        <w:rPr>
          <w:sz w:val="21"/>
        </w:rPr>
        <w:t>30</w:t>
      </w:r>
      <w:r>
        <w:rPr>
          <w:sz w:val="21"/>
        </w:rPr>
        <w:t>.</w:t>
      </w:r>
    </w:p>
    <w:p>
      <w:pPr>
        <w:pStyle w:val="Normal"/>
        <w:rPr>
          <w:sz w:val="21"/>
          <w:lang w:eastAsia="ja-JP"/>
        </w:rPr>
      </w:pPr>
      <w:r>
        <w:rPr>
          <w:sz w:val="21"/>
          <w:lang w:eastAsia="ja-JP"/>
        </w:rPr>
      </w:r>
    </w:p>
    <w:p>
      <w:pPr>
        <w:pStyle w:val="Normal"/>
        <w:rPr>
          <w:sz w:val="21"/>
          <w:lang w:eastAsia="ja-JP"/>
        </w:rPr>
      </w:pPr>
      <w:r>
        <w:rPr>
          <w:sz w:val="21"/>
          <w:lang w:eastAsia="ja-JP"/>
        </w:rPr>
      </w:r>
    </w:p>
    <w:p>
      <w:pPr>
        <w:pStyle w:val="Normal"/>
        <w:rPr>
          <w:b/>
          <w:bCs/>
          <w:sz w:val="21"/>
          <w:lang w:eastAsia="ja-JP"/>
        </w:rPr>
      </w:pPr>
      <w:r>
        <w:rPr>
          <w:b/>
          <w:bCs/>
          <w:sz w:val="21"/>
          <w:lang w:eastAsia="ja-JP"/>
        </w:rPr>
      </w:r>
    </w:p>
    <w:p>
      <w:pPr>
        <w:pStyle w:val="Normal"/>
        <w:rPr>
          <w:b/>
          <w:bCs/>
          <w:sz w:val="21"/>
          <w:lang w:eastAsia="ja-JP"/>
        </w:rPr>
      </w:pPr>
      <w:r>
        <w:rPr>
          <w:b/>
          <w:bCs/>
          <w:sz w:val="21"/>
          <w:lang w:eastAsia="ja-JP"/>
        </w:rPr>
      </w:r>
    </w:p>
    <w:p>
      <w:pPr>
        <w:pStyle w:val="Normal"/>
        <w:rPr>
          <w:b/>
          <w:bCs/>
          <w:lang w:eastAsia="ja-JP"/>
        </w:rPr>
      </w:pPr>
      <w:r>
        <w:rPr>
          <w:b/>
          <w:bCs/>
          <w:lang w:eastAsia="ja-JP"/>
        </w:rPr>
        <w:t xml:space="preserve">1. </w:t>
      </w:r>
      <w:r>
        <w:rPr>
          <w:b/>
          <w:bCs/>
          <w:lang w:eastAsia="ja-JP"/>
        </w:rPr>
        <w:t>Overview</w:t>
      </w:r>
    </w:p>
    <w:p>
      <w:pPr>
        <w:pStyle w:val="Normal"/>
        <w:rPr>
          <w:b/>
          <w:bCs/>
          <w:sz w:val="21"/>
          <w:lang w:eastAsia="ja-JP"/>
        </w:rPr>
      </w:pPr>
      <w:r>
        <w:rPr>
          <w:b/>
          <w:bCs/>
          <w:sz w:val="21"/>
          <w:lang w:eastAsia="ja-JP"/>
        </w:rPr>
      </w:r>
    </w:p>
    <w:p>
      <w:pPr>
        <w:pStyle w:val="Normal"/>
        <w:jc w:val="both"/>
        <w:rPr/>
      </w:pPr>
      <w:r>
        <w:rPr>
          <w:sz w:val="21"/>
          <w:lang w:eastAsia="ja-JP"/>
        </w:rPr>
        <w:t xml:space="preserve">A significant opportunity </w:t>
      </w:r>
      <w:r>
        <w:rPr>
          <w:sz w:val="21"/>
          <w:lang w:eastAsia="ja-JP"/>
        </w:rPr>
        <w:t xml:space="preserve">currently </w:t>
      </w:r>
      <w:r>
        <w:rPr>
          <w:sz w:val="21"/>
          <w:lang w:eastAsia="ja-JP"/>
        </w:rPr>
        <w:t xml:space="preserve">exists for Enron to help elevate the importance of </w:t>
      </w:r>
      <w:r>
        <w:rPr>
          <w:sz w:val="21"/>
          <w:lang w:eastAsia="ja-JP"/>
        </w:rPr>
        <w:t xml:space="preserve">Japanese </w:t>
      </w:r>
      <w:r>
        <w:rPr>
          <w:sz w:val="21"/>
          <w:lang w:eastAsia="ja-JP"/>
        </w:rPr>
        <w:t xml:space="preserve">energy sector reform in bilateral discussions between </w:t>
      </w:r>
      <w:r>
        <w:rPr>
          <w:sz w:val="21"/>
          <w:lang w:eastAsia="ja-JP"/>
        </w:rPr>
        <w:t xml:space="preserve">the </w:t>
      </w:r>
      <w:r>
        <w:rPr>
          <w:sz w:val="21"/>
          <w:lang w:eastAsia="ja-JP"/>
        </w:rPr>
        <w:t>US and Japanese governments. Energy sector reform is crucial to Japan</w:t>
      </w:r>
      <w:r>
        <w:rPr>
          <w:sz w:val="21"/>
          <w:lang w:eastAsia="ja-JP"/>
        </w:rPr>
        <w:t>’</w:t>
      </w:r>
      <w:r>
        <w:rPr>
          <w:sz w:val="21"/>
          <w:lang w:eastAsia="ja-JP"/>
        </w:rPr>
        <w:t xml:space="preserve">s economic recovery and to </w:t>
      </w:r>
      <w:r>
        <w:rPr>
          <w:sz w:val="21"/>
          <w:lang w:eastAsia="ja-JP"/>
        </w:rPr>
        <w:t>Enron’s value proposition in Japan:</w:t>
      </w:r>
    </w:p>
    <w:p>
      <w:pPr>
        <w:pStyle w:val="Normal"/>
        <w:numPr>
          <w:ilvl w:val="0"/>
          <w:numId w:val="3"/>
        </w:numPr>
        <w:jc w:val="both"/>
        <w:rPr>
          <w:sz w:val="21"/>
          <w:lang w:eastAsia="ja-JP"/>
        </w:rPr>
      </w:pPr>
      <w:r>
        <w:rPr>
          <w:sz w:val="21"/>
          <w:lang w:eastAsia="ja-JP"/>
        </w:rPr>
        <w:t>Despite some reforms, competition is virtually non-existent in Japan’s energy sector.</w:t>
      </w:r>
    </w:p>
    <w:p>
      <w:pPr>
        <w:pStyle w:val="Normal"/>
        <w:numPr>
          <w:ilvl w:val="0"/>
          <w:numId w:val="3"/>
        </w:numPr>
        <w:jc w:val="both"/>
        <w:rPr>
          <w:sz w:val="21"/>
          <w:lang w:eastAsia="ja-JP"/>
        </w:rPr>
      </w:pPr>
      <w:r>
        <w:rPr>
          <w:sz w:val="21"/>
          <w:lang w:eastAsia="ja-JP"/>
        </w:rPr>
        <w:t>Japan’s economic recovery is being hampered by lack of energy sector reform.</w:t>
      </w:r>
    </w:p>
    <w:p>
      <w:pPr>
        <w:pStyle w:val="Normal"/>
        <w:numPr>
          <w:ilvl w:val="0"/>
          <w:numId w:val="3"/>
        </w:numPr>
        <w:jc w:val="both"/>
        <w:rPr>
          <w:sz w:val="21"/>
          <w:lang w:eastAsia="ja-JP"/>
        </w:rPr>
      </w:pPr>
      <w:r>
        <w:rPr>
          <w:sz w:val="21"/>
          <w:lang w:eastAsia="ja-JP"/>
        </w:rPr>
        <w:t>Positive political momentum is developing in Japan for macro-economic reform.</w:t>
      </w:r>
    </w:p>
    <w:p>
      <w:pPr>
        <w:pStyle w:val="Normal"/>
        <w:numPr>
          <w:ilvl w:val="0"/>
          <w:numId w:val="3"/>
        </w:numPr>
        <w:jc w:val="both"/>
        <w:rPr>
          <w:sz w:val="21"/>
          <w:lang w:eastAsia="ja-JP"/>
        </w:rPr>
      </w:pPr>
      <w:r>
        <w:rPr>
          <w:sz w:val="21"/>
          <w:lang w:eastAsia="ja-JP"/>
        </w:rPr>
        <w:t>The US Government is currently focused on energy issues and Japan’s economy.</w:t>
      </w:r>
    </w:p>
    <w:p>
      <w:pPr>
        <w:pStyle w:val="Normal"/>
        <w:numPr>
          <w:ilvl w:val="0"/>
          <w:numId w:val="3"/>
        </w:numPr>
        <w:jc w:val="both"/>
        <w:rPr>
          <w:sz w:val="21"/>
          <w:lang w:eastAsia="ja-JP"/>
        </w:rPr>
      </w:pPr>
      <w:r>
        <w:rPr>
          <w:sz w:val="21"/>
          <w:lang w:eastAsia="ja-JP"/>
        </w:rPr>
        <w:t xml:space="preserve">The US and Japan will be finalizing the current round of bilateral discussions on energy deregulation in the next three weeks ahead of the 30 June summit. </w:t>
      </w:r>
    </w:p>
    <w:p>
      <w:pPr>
        <w:pStyle w:val="Normal"/>
        <w:rPr>
          <w:sz w:val="21"/>
          <w:lang w:eastAsia="ja-JP"/>
        </w:rPr>
      </w:pPr>
      <w:r>
        <w:rPr>
          <w:sz w:val="21"/>
          <w:lang w:eastAsia="ja-JP"/>
        </w:rPr>
      </w:r>
    </w:p>
    <w:p>
      <w:pPr>
        <w:pStyle w:val="Normal"/>
        <w:rPr>
          <w:sz w:val="21"/>
          <w:lang w:eastAsia="ja-JP"/>
        </w:rPr>
      </w:pPr>
      <w:r>
        <w:rPr>
          <w:sz w:val="21"/>
          <w:lang w:eastAsia="ja-JP"/>
        </w:rPr>
      </w:r>
    </w:p>
    <w:p>
      <w:pPr>
        <w:pStyle w:val="Heading1"/>
        <w:ind w:hanging="0" w:start="0"/>
        <w:rPr>
          <w:sz w:val="21"/>
        </w:rPr>
      </w:pPr>
      <w:r>
        <w:rPr/>
        <w:t>2. Current Japanese Reforms Inadequate</w:t>
      </w:r>
    </w:p>
    <w:p>
      <w:pPr>
        <w:pStyle w:val="Normal"/>
        <w:rPr>
          <w:sz w:val="21"/>
          <w:lang w:eastAsia="ja-JP"/>
        </w:rPr>
      </w:pPr>
      <w:r>
        <w:rPr>
          <w:sz w:val="21"/>
          <w:lang w:eastAsia="ja-JP"/>
        </w:rPr>
      </w:r>
    </w:p>
    <w:p>
      <w:pPr>
        <w:pStyle w:val="Normal"/>
        <w:ind w:firstLine="360" w:end="0"/>
        <w:rPr>
          <w:b/>
          <w:bCs/>
          <w:sz w:val="21"/>
          <w:lang w:eastAsia="ja-JP"/>
        </w:rPr>
      </w:pPr>
      <w:r>
        <w:rPr>
          <w:b/>
          <w:bCs/>
          <w:sz w:val="21"/>
          <w:lang w:eastAsia="ja-JP"/>
        </w:rPr>
        <w:t>2.1 Japanese Energy Reform Process</w:t>
      </w:r>
    </w:p>
    <w:p>
      <w:pPr>
        <w:pStyle w:val="Normal"/>
        <w:rPr>
          <w:b/>
          <w:bCs/>
          <w:sz w:val="21"/>
          <w:lang w:eastAsia="ja-JP"/>
        </w:rPr>
      </w:pPr>
      <w:r>
        <w:rPr>
          <w:b/>
          <w:bCs/>
          <w:sz w:val="21"/>
          <w:lang w:eastAsia="ja-JP"/>
        </w:rPr>
      </w:r>
    </w:p>
    <w:p>
      <w:pPr>
        <w:pStyle w:val="Normal"/>
        <w:jc w:val="both"/>
        <w:rPr>
          <w:sz w:val="21"/>
          <w:lang w:eastAsia="ja-JP"/>
        </w:rPr>
      </w:pPr>
      <w:r>
        <w:rPr>
          <w:sz w:val="21"/>
          <w:lang w:eastAsia="ja-JP"/>
        </w:rPr>
        <w:t>The Japanese government is committed to the process of regulatory reform of the energy</w:t>
      </w:r>
      <w:r>
        <w:rPr>
          <w:sz w:val="21"/>
          <w:lang w:eastAsia="ja-JP"/>
        </w:rPr>
        <w:t xml:space="preserve"> s</w:t>
      </w:r>
      <w:r>
        <w:rPr>
          <w:sz w:val="21"/>
          <w:lang w:eastAsia="ja-JP"/>
        </w:rPr>
        <w:t xml:space="preserve">ector. The first stage of reform in the electricity sector began in 1995 with the opening of the wholesale generation market to independent power producers. The second stage of </w:t>
      </w:r>
      <w:r>
        <w:rPr>
          <w:sz w:val="21"/>
          <w:lang w:eastAsia="ja-JP"/>
        </w:rPr>
        <w:t xml:space="preserve">the reform process </w:t>
      </w:r>
      <w:r>
        <w:rPr>
          <w:sz w:val="21"/>
          <w:lang w:eastAsia="ja-JP"/>
        </w:rPr>
        <w:t>was introduced from March 200</w:t>
      </w:r>
      <w:r>
        <w:rPr>
          <w:sz w:val="21"/>
          <w:lang w:eastAsia="ja-JP"/>
        </w:rPr>
        <w:t>0</w:t>
      </w:r>
      <w:r>
        <w:rPr>
          <w:sz w:val="21"/>
          <w:lang w:eastAsia="ja-JP"/>
        </w:rPr>
        <w:t xml:space="preserve"> with retail competition introduced for extra-high voltage electricity consumers.</w:t>
      </w:r>
    </w:p>
    <w:p>
      <w:pPr>
        <w:pStyle w:val="Normal"/>
        <w:jc w:val="both"/>
        <w:rPr>
          <w:sz w:val="21"/>
          <w:lang w:eastAsia="ja-JP"/>
        </w:rPr>
      </w:pPr>
      <w:r>
        <w:rPr>
          <w:sz w:val="21"/>
          <w:lang w:eastAsia="ja-JP"/>
        </w:rPr>
      </w:r>
    </w:p>
    <w:p>
      <w:pPr>
        <w:pStyle w:val="Normal"/>
        <w:jc w:val="both"/>
        <w:rPr>
          <w:sz w:val="21"/>
          <w:lang w:eastAsia="ja-JP"/>
        </w:rPr>
      </w:pPr>
      <w:r>
        <w:rPr>
          <w:sz w:val="21"/>
          <w:lang w:eastAsia="ja-JP"/>
        </w:rPr>
        <w:t>Currently approximately 28% (8,300 customers) of the retail market is eligible to choose its</w:t>
      </w:r>
      <w:r>
        <w:rPr>
          <w:sz w:val="21"/>
          <w:lang w:eastAsia="ja-JP"/>
        </w:rPr>
        <w:t xml:space="preserve"> </w:t>
      </w:r>
      <w:r>
        <w:rPr>
          <w:sz w:val="21"/>
          <w:lang w:eastAsia="ja-JP"/>
        </w:rPr>
        <w:t>supplier.</w:t>
      </w:r>
    </w:p>
    <w:p>
      <w:pPr>
        <w:pStyle w:val="Normal"/>
        <w:jc w:val="both"/>
        <w:rPr>
          <w:sz w:val="21"/>
          <w:lang w:eastAsia="ja-JP"/>
        </w:rPr>
      </w:pPr>
      <w:r>
        <w:rPr>
          <w:sz w:val="21"/>
          <w:lang w:eastAsia="ja-JP"/>
        </w:rPr>
      </w:r>
    </w:p>
    <w:p>
      <w:pPr>
        <w:pStyle w:val="Normal"/>
        <w:jc w:val="both"/>
        <w:rPr>
          <w:sz w:val="21"/>
          <w:lang w:eastAsia="ja-JP"/>
        </w:rPr>
      </w:pPr>
      <w:r>
        <w:rPr>
          <w:sz w:val="21"/>
          <w:lang w:eastAsia="ja-JP"/>
        </w:rPr>
        <w:t>Reform of the gas industry in Japan has also commenced, and the government is currently carrying out a review of reforms in this sector.</w:t>
      </w:r>
    </w:p>
    <w:p>
      <w:pPr>
        <w:pStyle w:val="Normal"/>
        <w:rPr>
          <w:sz w:val="21"/>
          <w:lang w:eastAsia="ja-JP"/>
        </w:rPr>
      </w:pPr>
      <w:r>
        <w:rPr>
          <w:sz w:val="21"/>
          <w:lang w:eastAsia="ja-JP"/>
        </w:rPr>
      </w:r>
    </w:p>
    <w:p>
      <w:pPr>
        <w:pStyle w:val="Normal"/>
        <w:ind w:firstLine="360" w:end="0"/>
        <w:rPr>
          <w:b/>
          <w:bCs/>
          <w:sz w:val="21"/>
          <w:lang w:eastAsia="ja-JP"/>
        </w:rPr>
      </w:pPr>
      <w:r>
        <w:rPr>
          <w:b/>
          <w:bCs/>
          <w:sz w:val="21"/>
          <w:lang w:eastAsia="ja-JP"/>
        </w:rPr>
        <w:t>2.2 Limited Results Achieved</w:t>
      </w:r>
    </w:p>
    <w:p>
      <w:pPr>
        <w:pStyle w:val="Normal"/>
        <w:rPr>
          <w:b/>
          <w:bCs/>
          <w:sz w:val="21"/>
          <w:lang w:eastAsia="ja-JP"/>
        </w:rPr>
      </w:pPr>
      <w:r>
        <w:rPr>
          <w:b/>
          <w:bCs/>
          <w:sz w:val="21"/>
          <w:lang w:eastAsia="ja-JP"/>
        </w:rPr>
      </w:r>
    </w:p>
    <w:p>
      <w:pPr>
        <w:pStyle w:val="Normal"/>
        <w:jc w:val="both"/>
        <w:rPr/>
      </w:pPr>
      <w:r>
        <w:rPr>
          <w:sz w:val="21"/>
          <w:lang w:eastAsia="ja-JP"/>
        </w:rPr>
        <w:t xml:space="preserve">Despite over one year passing since the introduction of </w:t>
      </w:r>
      <w:r>
        <w:rPr>
          <w:sz w:val="21"/>
          <w:lang w:eastAsia="ja-JP"/>
        </w:rPr>
        <w:t xml:space="preserve">partial </w:t>
      </w:r>
      <w:r>
        <w:rPr>
          <w:sz w:val="21"/>
          <w:lang w:eastAsia="ja-JP"/>
        </w:rPr>
        <w:t>competition</w:t>
      </w:r>
      <w:r>
        <w:rPr>
          <w:sz w:val="21"/>
          <w:lang w:eastAsia="ja-JP"/>
        </w:rPr>
        <w:t xml:space="preserve"> in the electricity</w:t>
      </w:r>
      <w:r>
        <w:rPr>
          <w:sz w:val="21"/>
          <w:lang w:eastAsia="ja-JP"/>
        </w:rPr>
        <w:t xml:space="preserve"> sector, few results have been achieved.</w:t>
      </w:r>
    </w:p>
    <w:p>
      <w:pPr>
        <w:pStyle w:val="Normal"/>
        <w:rPr>
          <w:sz w:val="21"/>
          <w:lang w:eastAsia="ja-JP"/>
        </w:rPr>
      </w:pPr>
      <w:r>
        <w:rPr>
          <w:sz w:val="21"/>
          <w:lang w:eastAsia="ja-JP"/>
        </w:rPr>
      </w:r>
    </w:p>
    <w:p>
      <w:pPr>
        <w:pStyle w:val="Normal"/>
        <w:numPr>
          <w:ilvl w:val="0"/>
          <w:numId w:val="2"/>
        </w:numPr>
        <w:jc w:val="both"/>
        <w:rPr>
          <w:sz w:val="21"/>
          <w:lang w:eastAsia="ja-JP"/>
        </w:rPr>
      </w:pPr>
      <w:r>
        <w:rPr>
          <w:sz w:val="21"/>
          <w:lang w:eastAsia="ja-JP"/>
        </w:rPr>
        <w:t xml:space="preserve">Only nine companies have registered </w:t>
      </w:r>
      <w:r>
        <w:rPr>
          <w:sz w:val="21"/>
          <w:lang w:eastAsia="ja-JP"/>
        </w:rPr>
        <w:t>with the</w:t>
      </w:r>
      <w:r>
        <w:rPr>
          <w:sz w:val="21"/>
          <w:lang w:eastAsia="ja-JP"/>
        </w:rPr>
        <w:t xml:space="preserve"> regulator to carry out retail supply. Total capacity registered by these companies represents less that 0.2% of total national generating capacity.</w:t>
      </w:r>
    </w:p>
    <w:p>
      <w:pPr>
        <w:pStyle w:val="Normal"/>
        <w:numPr>
          <w:ilvl w:val="0"/>
          <w:numId w:val="2"/>
        </w:numPr>
        <w:jc w:val="both"/>
        <w:rPr>
          <w:sz w:val="21"/>
          <w:lang w:eastAsia="ja-JP"/>
        </w:rPr>
      </w:pPr>
      <w:r>
        <w:rPr>
          <w:sz w:val="21"/>
          <w:lang w:eastAsia="ja-JP"/>
        </w:rPr>
        <w:t>Estimates calculate that less than 0.4% of customers eligible to change supplier have done so.</w:t>
      </w:r>
    </w:p>
    <w:p>
      <w:pPr>
        <w:pStyle w:val="Normal"/>
        <w:numPr>
          <w:ilvl w:val="0"/>
          <w:numId w:val="2"/>
        </w:numPr>
        <w:rPr>
          <w:sz w:val="21"/>
          <w:lang w:eastAsia="ja-JP"/>
        </w:rPr>
      </w:pPr>
      <w:r>
        <w:rPr>
          <w:sz w:val="21"/>
          <w:lang w:eastAsia="ja-JP"/>
        </w:rPr>
        <w:t>Electricity prices remain far in excess of the OECD average.</w:t>
      </w:r>
      <w:r>
        <w:rPr>
          <w:rStyle w:val="FootnoteCharacters"/>
          <w:rStyle w:val="FootnoteReference"/>
          <w:sz w:val="21"/>
          <w:lang w:eastAsia="ja-JP"/>
        </w:rPr>
        <w:footnoteReference w:id="2"/>
      </w:r>
    </w:p>
    <w:p>
      <w:pPr>
        <w:pStyle w:val="Normal"/>
        <w:rPr>
          <w:sz w:val="21"/>
          <w:lang w:eastAsia="ja-JP"/>
        </w:rPr>
      </w:pPr>
      <w:r>
        <w:rPr>
          <w:sz w:val="21"/>
          <w:lang w:eastAsia="ja-JP"/>
        </w:rPr>
      </w:r>
    </w:p>
    <w:p>
      <w:pPr>
        <w:pStyle w:val="BodyText"/>
        <w:rPr>
          <w:sz w:val="21"/>
        </w:rPr>
      </w:pPr>
      <w:r>
        <w:rPr>
          <w:sz w:val="21"/>
        </w:rPr>
        <w:t>Government bodies have noted that a number of significant barriers to market entry may exist</w:t>
      </w:r>
      <w:r>
        <w:rPr>
          <w:rStyle w:val="FootnoteCharacters"/>
          <w:rStyle w:val="FootnoteReference"/>
          <w:sz w:val="21"/>
        </w:rPr>
        <w:footnoteReference w:id="3"/>
      </w:r>
      <w:r>
        <w:rPr>
          <w:sz w:val="21"/>
        </w:rPr>
        <w:t xml:space="preserve">, preventing the development of a workably competitive market under current regulatory conditions. The government is committed to addressing these, and other issues, in a review of </w:t>
      </w:r>
      <w:r>
        <w:rPr>
          <w:sz w:val="21"/>
        </w:rPr>
        <w:t>regulatory</w:t>
      </w:r>
      <w:r>
        <w:rPr>
          <w:sz w:val="21"/>
        </w:rPr>
        <w:t xml:space="preserve"> reform in the electricity industry scheduled to </w:t>
      </w:r>
      <w:r>
        <w:rPr>
          <w:sz w:val="21"/>
        </w:rPr>
        <w:t>commence in August this year.</w:t>
      </w:r>
    </w:p>
    <w:p>
      <w:pPr>
        <w:pStyle w:val="Normal"/>
        <w:rPr>
          <w:sz w:val="21"/>
          <w:lang w:eastAsia="ja-JP"/>
        </w:rPr>
      </w:pPr>
      <w:r>
        <w:rPr>
          <w:sz w:val="21"/>
          <w:lang w:eastAsia="ja-JP"/>
        </w:rPr>
      </w:r>
    </w:p>
    <w:p>
      <w:pPr>
        <w:pStyle w:val="Normal"/>
        <w:ind w:firstLine="360" w:end="0"/>
        <w:rPr>
          <w:b/>
          <w:bCs/>
          <w:sz w:val="21"/>
          <w:lang w:eastAsia="ja-JP"/>
        </w:rPr>
      </w:pPr>
      <w:r>
        <w:rPr>
          <w:b/>
          <w:bCs/>
          <w:sz w:val="21"/>
          <w:lang w:eastAsia="ja-JP"/>
        </w:rPr>
        <w:t>2.3 Economic Implications of the Lack of Japanese Energy Sector Reform</w:t>
      </w:r>
    </w:p>
    <w:p>
      <w:pPr>
        <w:pStyle w:val="Normal"/>
        <w:rPr>
          <w:b/>
          <w:bCs/>
          <w:sz w:val="21"/>
          <w:lang w:eastAsia="ja-JP"/>
        </w:rPr>
      </w:pPr>
      <w:r>
        <w:rPr>
          <w:b/>
          <w:bCs/>
          <w:sz w:val="21"/>
          <w:lang w:eastAsia="ja-JP"/>
        </w:rPr>
      </w:r>
    </w:p>
    <w:p>
      <w:pPr>
        <w:pStyle w:val="Normal"/>
        <w:jc w:val="both"/>
        <w:rPr/>
      </w:pPr>
      <w:r>
        <w:rPr>
          <w:sz w:val="21"/>
          <w:lang w:eastAsia="ja-JP"/>
        </w:rPr>
        <w:t>The international competitiveness of Japanese industry is being seriously harmed by high electricity prices</w:t>
      </w:r>
      <w:r>
        <w:rPr>
          <w:rStyle w:val="FootnoteCharacters"/>
          <w:rStyle w:val="FootnoteReference"/>
          <w:sz w:val="21"/>
          <w:lang w:eastAsia="ja-JP"/>
        </w:rPr>
        <w:footnoteReference w:id="4"/>
      </w:r>
      <w:r>
        <w:rPr>
          <w:sz w:val="21"/>
          <w:lang w:eastAsia="ja-JP"/>
        </w:rPr>
        <w:t xml:space="preserve">, retarding economic growth </w:t>
      </w:r>
      <w:r>
        <w:rPr>
          <w:sz w:val="21"/>
          <w:lang w:eastAsia="ja-JP"/>
        </w:rPr>
        <w:t>and</w:t>
      </w:r>
      <w:r>
        <w:rPr>
          <w:sz w:val="21"/>
          <w:lang w:eastAsia="ja-JP"/>
        </w:rPr>
        <w:t xml:space="preserve"> the progress of structural reform, which is the key to Japan</w:t>
      </w:r>
      <w:r>
        <w:rPr>
          <w:sz w:val="21"/>
          <w:lang w:eastAsia="ja-JP"/>
        </w:rPr>
        <w:t>’</w:t>
      </w:r>
      <w:r>
        <w:rPr>
          <w:sz w:val="21"/>
          <w:lang w:eastAsia="ja-JP"/>
        </w:rPr>
        <w:t>s economic recovery.</w:t>
      </w:r>
    </w:p>
    <w:p>
      <w:pPr>
        <w:pStyle w:val="Normal"/>
        <w:jc w:val="both"/>
        <w:rPr>
          <w:sz w:val="21"/>
          <w:lang w:eastAsia="ja-JP"/>
        </w:rPr>
      </w:pPr>
      <w:r>
        <w:rPr>
          <w:sz w:val="21"/>
          <w:lang w:eastAsia="ja-JP"/>
        </w:rPr>
      </w:r>
    </w:p>
    <w:p>
      <w:pPr>
        <w:pStyle w:val="Normal"/>
        <w:jc w:val="both"/>
        <w:rPr/>
      </w:pPr>
      <w:r>
        <w:rPr>
          <w:sz w:val="21"/>
          <w:lang w:eastAsia="ja-JP"/>
        </w:rPr>
        <w:t>Furthermore, the development of Japan</w:t>
      </w:r>
      <w:r>
        <w:rPr>
          <w:sz w:val="21"/>
          <w:lang w:eastAsia="ja-JP"/>
        </w:rPr>
        <w:t>’</w:t>
      </w:r>
      <w:r>
        <w:rPr>
          <w:sz w:val="21"/>
          <w:lang w:eastAsia="ja-JP"/>
        </w:rPr>
        <w:t>s IT industry, identified by the US as an important bilateral trade issue, and by the Japanese government as crucial to economic recovery, is under threat of being undermined by lack of reform in the electricity sector. Electricity demand has been projected to increase considerably in response to growth in the IT sector, yet the long-term supply plans submitted by electricity utilities to the regulator do not factor IT-related demand growth</w:t>
      </w:r>
      <w:r>
        <w:rPr>
          <w:rStyle w:val="FootnoteCharacters"/>
          <w:rStyle w:val="FootnoteReference"/>
          <w:sz w:val="21"/>
          <w:lang w:eastAsia="ja-JP"/>
        </w:rPr>
        <w:footnoteReference w:id="5"/>
      </w:r>
      <w:r>
        <w:rPr>
          <w:sz w:val="21"/>
          <w:lang w:eastAsia="ja-JP"/>
        </w:rPr>
        <w:t xml:space="preserve">. </w:t>
      </w:r>
    </w:p>
    <w:p>
      <w:pPr>
        <w:pStyle w:val="Normal"/>
        <w:rPr>
          <w:sz w:val="21"/>
          <w:lang w:eastAsia="ja-JP"/>
        </w:rPr>
      </w:pPr>
      <w:r>
        <w:rPr>
          <w:sz w:val="21"/>
          <w:lang w:eastAsia="ja-JP"/>
        </w:rPr>
      </w:r>
    </w:p>
    <w:p>
      <w:pPr>
        <w:pStyle w:val="Normal"/>
        <w:rPr>
          <w:b/>
          <w:bCs/>
          <w:lang w:eastAsia="ja-JP"/>
        </w:rPr>
      </w:pPr>
      <w:r>
        <w:rPr>
          <w:b/>
          <w:bCs/>
          <w:lang w:eastAsia="ja-JP"/>
        </w:rPr>
        <w:t>3. Momentum for Reform is Slowing within the Bureaucracy</w:t>
      </w:r>
    </w:p>
    <w:p>
      <w:pPr>
        <w:pStyle w:val="Normal"/>
        <w:ind w:firstLine="720" w:end="0"/>
        <w:rPr>
          <w:b/>
          <w:bCs/>
          <w:sz w:val="21"/>
          <w:lang w:eastAsia="ja-JP"/>
        </w:rPr>
      </w:pPr>
      <w:r>
        <w:rPr>
          <w:b/>
          <w:bCs/>
          <w:sz w:val="21"/>
          <w:lang w:eastAsia="ja-JP"/>
        </w:rPr>
      </w:r>
    </w:p>
    <w:p>
      <w:pPr>
        <w:pStyle w:val="Normal"/>
        <w:ind w:firstLine="360" w:end="0"/>
        <w:rPr>
          <w:b/>
          <w:bCs/>
          <w:sz w:val="21"/>
          <w:lang w:eastAsia="ja-JP"/>
        </w:rPr>
      </w:pPr>
      <w:r>
        <w:rPr>
          <w:b/>
          <w:bCs/>
          <w:sz w:val="21"/>
        </w:rPr>
        <w:t xml:space="preserve">3.1 </w:t>
      </w:r>
      <w:r>
        <w:rPr>
          <w:b/>
          <w:bCs/>
          <w:sz w:val="21"/>
        </w:rPr>
        <w:t>Bureaucracy has Limited Ability to Implement Reform</w:t>
      </w:r>
    </w:p>
    <w:p>
      <w:pPr>
        <w:pStyle w:val="BodyText"/>
        <w:rPr>
          <w:b/>
          <w:bCs/>
          <w:sz w:val="21"/>
          <w:lang w:eastAsia="ja-JP"/>
        </w:rPr>
      </w:pPr>
      <w:r>
        <w:rPr>
          <w:b/>
          <w:bCs/>
          <w:sz w:val="21"/>
          <w:lang w:eastAsia="ja-JP"/>
        </w:rPr>
      </w:r>
    </w:p>
    <w:p>
      <w:pPr>
        <w:pStyle w:val="BodyText"/>
        <w:rPr/>
      </w:pPr>
      <w:r>
        <w:rPr>
          <w:sz w:val="21"/>
        </w:rPr>
        <w:t>Of the three major agents of policy change in Japan</w:t>
      </w:r>
      <w:r>
        <w:rPr>
          <w:rStyle w:val="FootnoteCharacters"/>
          <w:rStyle w:val="FootnoteReference"/>
          <w:sz w:val="21"/>
        </w:rPr>
        <w:footnoteReference w:id="6"/>
      </w:r>
      <w:r>
        <w:rPr>
          <w:sz w:val="21"/>
        </w:rPr>
        <w:t xml:space="preserve">, the Ministry of Economy, Trade, and Industry (METI), which is charged with administering Japanese energy policy, believes it lacks the power under existing legislation to actively regulate the industry in order to ensure the development of a competitive market.  </w:t>
      </w:r>
    </w:p>
    <w:p>
      <w:pPr>
        <w:pStyle w:val="BodyText"/>
        <w:rPr>
          <w:sz w:val="21"/>
        </w:rPr>
      </w:pPr>
      <w:r>
        <w:rPr>
          <w:sz w:val="21"/>
        </w:rPr>
      </w:r>
    </w:p>
    <w:p>
      <w:pPr>
        <w:pStyle w:val="BodyText"/>
        <w:rPr/>
      </w:pPr>
      <w:r>
        <w:rPr>
          <w:sz w:val="21"/>
        </w:rPr>
        <w:t>In addition, t</w:t>
      </w:r>
      <w:r>
        <w:rPr>
          <w:sz w:val="21"/>
        </w:rPr>
        <w:t xml:space="preserve">he Japanese Fair Trade Commission sees its mandate as enforcing competition policy through ex-post facto investigation of complaints lodged by market participants, and </w:t>
      </w:r>
      <w:r>
        <w:rPr>
          <w:sz w:val="21"/>
        </w:rPr>
        <w:t xml:space="preserve">currently </w:t>
      </w:r>
      <w:r>
        <w:rPr>
          <w:sz w:val="21"/>
        </w:rPr>
        <w:t>does not actively enforce competition policy.</w:t>
      </w:r>
    </w:p>
    <w:p>
      <w:pPr>
        <w:pStyle w:val="Normal"/>
        <w:jc w:val="both"/>
        <w:rPr>
          <w:sz w:val="21"/>
          <w:lang w:eastAsia="ja-JP"/>
        </w:rPr>
      </w:pPr>
      <w:r>
        <w:rPr>
          <w:sz w:val="21"/>
          <w:lang w:eastAsia="ja-JP"/>
        </w:rPr>
      </w:r>
    </w:p>
    <w:p>
      <w:pPr>
        <w:pStyle w:val="Normal"/>
        <w:ind w:firstLine="360" w:end="0"/>
        <w:jc w:val="both"/>
        <w:rPr>
          <w:b/>
          <w:bCs/>
          <w:sz w:val="21"/>
          <w:lang w:eastAsia="ja-JP"/>
        </w:rPr>
      </w:pPr>
      <w:r>
        <w:rPr>
          <w:b/>
          <w:bCs/>
          <w:sz w:val="21"/>
          <w:lang w:eastAsia="ja-JP"/>
        </w:rPr>
        <w:t>3.2 Other Policy Agents</w:t>
      </w:r>
      <w:r>
        <w:rPr>
          <w:b/>
          <w:bCs/>
          <w:sz w:val="21"/>
          <w:lang w:eastAsia="ja-JP"/>
        </w:rPr>
        <w:t xml:space="preserve"> </w:t>
      </w:r>
    </w:p>
    <w:p>
      <w:pPr>
        <w:pStyle w:val="Normal"/>
        <w:jc w:val="both"/>
        <w:rPr>
          <w:b/>
          <w:bCs/>
          <w:sz w:val="21"/>
          <w:lang w:eastAsia="ja-JP"/>
        </w:rPr>
      </w:pPr>
      <w:r>
        <w:rPr>
          <w:b/>
          <w:bCs/>
          <w:sz w:val="21"/>
          <w:lang w:eastAsia="ja-JP"/>
        </w:rPr>
      </w:r>
    </w:p>
    <w:p>
      <w:pPr>
        <w:pStyle w:val="Normal"/>
        <w:jc w:val="both"/>
        <w:rPr/>
      </w:pPr>
      <w:r>
        <w:rPr>
          <w:sz w:val="21"/>
          <w:lang w:eastAsia="ja-JP"/>
        </w:rPr>
        <w:t xml:space="preserve">Other agents of policy change in Japan, such as large industrial companies and the financial sector, are currently reluctant to push for reforms which may adversely impact the financial </w:t>
      </w:r>
      <w:r>
        <w:rPr>
          <w:sz w:val="21"/>
          <w:lang w:eastAsia="ja-JP"/>
        </w:rPr>
        <w:t>strength</w:t>
      </w:r>
      <w:r>
        <w:rPr>
          <w:sz w:val="21"/>
          <w:lang w:eastAsia="ja-JP"/>
        </w:rPr>
        <w:t xml:space="preserve"> of the electric utilities. There is also movement amongst some political interests to slow energy sector reform through the </w:t>
      </w:r>
      <w:r>
        <w:rPr>
          <w:sz w:val="21"/>
          <w:lang w:eastAsia="ja-JP"/>
        </w:rPr>
        <w:t>enactment</w:t>
      </w:r>
      <w:r>
        <w:rPr>
          <w:sz w:val="21"/>
          <w:lang w:eastAsia="ja-JP"/>
        </w:rPr>
        <w:t xml:space="preserve"> of a basic energy law designed to subordinate regulatory </w:t>
      </w:r>
      <w:r>
        <w:rPr>
          <w:sz w:val="21"/>
          <w:lang w:eastAsia="ja-JP"/>
        </w:rPr>
        <w:t>reform</w:t>
      </w:r>
      <w:r>
        <w:rPr>
          <w:sz w:val="21"/>
          <w:lang w:eastAsia="ja-JP"/>
        </w:rPr>
        <w:t xml:space="preserve"> goals to other policy goals.</w:t>
      </w:r>
    </w:p>
    <w:p>
      <w:pPr>
        <w:pStyle w:val="Normal"/>
        <w:rPr>
          <w:sz w:val="21"/>
          <w:lang w:eastAsia="ja-JP"/>
        </w:rPr>
      </w:pPr>
      <w:r>
        <w:rPr>
          <w:sz w:val="21"/>
          <w:lang w:eastAsia="ja-JP"/>
        </w:rPr>
      </w:r>
    </w:p>
    <w:p>
      <w:pPr>
        <w:pStyle w:val="Normal"/>
        <w:rPr>
          <w:sz w:val="21"/>
          <w:lang w:eastAsia="ja-JP"/>
        </w:rPr>
      </w:pPr>
      <w:r>
        <w:rPr>
          <w:sz w:val="21"/>
          <w:lang w:eastAsia="ja-JP"/>
        </w:rPr>
      </w:r>
    </w:p>
    <w:p>
      <w:pPr>
        <w:pStyle w:val="Heading1"/>
        <w:ind w:hanging="0" w:start="0"/>
        <w:rPr/>
      </w:pPr>
      <w:r>
        <w:rPr/>
        <w:t>4. Time is Right in Japan for a Bilateral Dialogue on Energy Policy</w:t>
      </w:r>
    </w:p>
    <w:p>
      <w:pPr>
        <w:pStyle w:val="Normal"/>
        <w:rPr>
          <w:sz w:val="21"/>
          <w:lang w:eastAsia="ja-JP"/>
        </w:rPr>
      </w:pPr>
      <w:r>
        <w:rPr>
          <w:sz w:val="21"/>
          <w:lang w:eastAsia="ja-JP"/>
        </w:rPr>
      </w:r>
    </w:p>
    <w:p>
      <w:pPr>
        <w:pStyle w:val="Normal"/>
        <w:ind w:firstLine="360" w:end="0"/>
        <w:jc w:val="both"/>
        <w:rPr>
          <w:b/>
          <w:bCs/>
          <w:sz w:val="21"/>
          <w:lang w:eastAsia="ja-JP"/>
        </w:rPr>
      </w:pPr>
      <w:r>
        <w:rPr>
          <w:b/>
          <w:bCs/>
          <w:sz w:val="21"/>
          <w:lang w:eastAsia="ja-JP"/>
        </w:rPr>
        <w:t xml:space="preserve">4.1 Positive Political Momentum Developing </w:t>
      </w:r>
    </w:p>
    <w:p>
      <w:pPr>
        <w:pStyle w:val="Normal"/>
        <w:jc w:val="both"/>
        <w:rPr>
          <w:b/>
          <w:bCs/>
          <w:sz w:val="21"/>
          <w:lang w:eastAsia="ja-JP"/>
        </w:rPr>
      </w:pPr>
      <w:r>
        <w:rPr>
          <w:b/>
          <w:bCs/>
          <w:sz w:val="21"/>
          <w:lang w:eastAsia="ja-JP"/>
        </w:rPr>
      </w:r>
    </w:p>
    <w:p>
      <w:pPr>
        <w:pStyle w:val="Normal"/>
        <w:jc w:val="both"/>
        <w:rPr/>
      </w:pPr>
      <w:r>
        <w:rPr>
          <w:sz w:val="21"/>
          <w:lang w:eastAsia="ja-JP"/>
        </w:rPr>
        <w:t xml:space="preserve">The election of Junichiro </w:t>
      </w:r>
      <w:r>
        <w:rPr>
          <w:i/>
          <w:iCs/>
          <w:sz w:val="21"/>
          <w:lang w:eastAsia="ja-JP"/>
        </w:rPr>
        <w:t>KOIZUMI</w:t>
      </w:r>
      <w:r>
        <w:rPr>
          <w:sz w:val="21"/>
          <w:lang w:eastAsia="ja-JP"/>
        </w:rPr>
        <w:t xml:space="preserve"> as Prime Minister means a strongly pro-reform </w:t>
      </w:r>
      <w:r>
        <w:rPr>
          <w:sz w:val="21"/>
          <w:lang w:eastAsia="ja-JP"/>
        </w:rPr>
        <w:t>cabinet</w:t>
      </w:r>
      <w:r>
        <w:rPr>
          <w:sz w:val="21"/>
          <w:lang w:eastAsia="ja-JP"/>
        </w:rPr>
        <w:t xml:space="preserve"> is in power in Japan for the first time in three years. The cabinet also includes the pro-US Taku </w:t>
      </w:r>
      <w:r>
        <w:rPr>
          <w:i/>
          <w:iCs/>
          <w:sz w:val="21"/>
          <w:lang w:eastAsia="ja-JP"/>
        </w:rPr>
        <w:t>YAMASAKI</w:t>
      </w:r>
      <w:r>
        <w:rPr>
          <w:sz w:val="21"/>
          <w:lang w:eastAsia="ja-JP"/>
        </w:rPr>
        <w:t xml:space="preserve"> as Secretary General, along with his </w:t>
      </w:r>
      <w:r>
        <w:rPr>
          <w:sz w:val="21"/>
          <w:lang w:eastAsia="ja-JP"/>
        </w:rPr>
        <w:t>protégé</w:t>
      </w:r>
      <w:r>
        <w:rPr>
          <w:sz w:val="21"/>
          <w:lang w:eastAsia="ja-JP"/>
        </w:rPr>
        <w:t xml:space="preserve">, pro-deregulation Yoshiyuki </w:t>
      </w:r>
      <w:r>
        <w:rPr>
          <w:i/>
          <w:iCs/>
          <w:sz w:val="21"/>
          <w:lang w:eastAsia="ja-JP"/>
        </w:rPr>
        <w:t>KAMEI</w:t>
      </w:r>
      <w:r>
        <w:rPr>
          <w:sz w:val="21"/>
          <w:lang w:eastAsia="ja-JP"/>
        </w:rPr>
        <w:t>, as chairman of the powerful Liberal Democratic Party energy committee. Prime Minister Koizumi has repeatedly expressed his determination to implement far-reaching reform measures</w:t>
      </w:r>
      <w:r>
        <w:rPr>
          <w:sz w:val="21"/>
          <w:lang w:eastAsia="ja-JP"/>
        </w:rPr>
        <w:t>, though to date, he has announced few initiatives for implementation of reform</w:t>
      </w:r>
      <w:r>
        <w:rPr>
          <w:sz w:val="21"/>
          <w:lang w:eastAsia="ja-JP"/>
        </w:rPr>
        <w:t>.</w:t>
      </w:r>
    </w:p>
    <w:p>
      <w:pPr>
        <w:pStyle w:val="Normal"/>
        <w:rPr>
          <w:sz w:val="21"/>
          <w:lang w:eastAsia="ja-JP"/>
        </w:rPr>
      </w:pPr>
      <w:r>
        <w:rPr>
          <w:sz w:val="21"/>
          <w:lang w:eastAsia="ja-JP"/>
        </w:rPr>
      </w:r>
    </w:p>
    <w:p>
      <w:pPr>
        <w:pStyle w:val="BodyText"/>
        <w:rPr/>
      </w:pPr>
      <w:r>
        <w:rPr>
          <w:sz w:val="21"/>
        </w:rPr>
        <w:t xml:space="preserve">Further, the Japanese government is currently keen to engage the United States on bilateral trade and deregulation issues, including energy sector reform. Preparatory discussions are underway to establish a bilateral roundtable group charged with discussing economic and regulatory reform, and the proposal was discussed in bilateral discussions held between US trade representative Robert Zoellick and METI Minister Takeo </w:t>
      </w:r>
      <w:r>
        <w:rPr>
          <w:i/>
          <w:iCs/>
          <w:sz w:val="21"/>
        </w:rPr>
        <w:t>HIRANUMA</w:t>
      </w:r>
      <w:r>
        <w:rPr>
          <w:sz w:val="21"/>
        </w:rPr>
        <w:t xml:space="preserve"> on May 17</w:t>
      </w:r>
      <w:r>
        <w:rPr>
          <w:sz w:val="21"/>
          <w:vertAlign w:val="superscript"/>
        </w:rPr>
        <w:t>th</w:t>
      </w:r>
      <w:r>
        <w:rPr>
          <w:sz w:val="21"/>
        </w:rPr>
        <w:t>. There is a high likelihood that the proposal will be discussed during the US-Japan Summit scheduled for late June or July.</w:t>
      </w:r>
    </w:p>
    <w:p>
      <w:pPr>
        <w:pStyle w:val="BodyText"/>
        <w:rPr>
          <w:sz w:val="21"/>
        </w:rPr>
      </w:pPr>
      <w:r>
        <w:rPr>
          <w:sz w:val="21"/>
        </w:rPr>
      </w:r>
    </w:p>
    <w:p>
      <w:pPr>
        <w:pStyle w:val="BodyText"/>
        <w:ind w:firstLine="360" w:end="0"/>
        <w:rPr/>
      </w:pPr>
      <w:r>
        <w:rPr>
          <w:b/>
          <w:bCs/>
          <w:sz w:val="21"/>
        </w:rPr>
        <w:t>4.2</w:t>
      </w:r>
      <w:r>
        <w:rPr>
          <w:b/>
          <w:bCs/>
          <w:sz w:val="21"/>
        </w:rPr>
        <w:t xml:space="preserve"> </w:t>
      </w:r>
      <w:r>
        <w:rPr>
          <w:b/>
          <w:bCs/>
          <w:sz w:val="21"/>
        </w:rPr>
        <w:t>Public and Media Attention Focused on Energy Sector Reform</w:t>
      </w:r>
    </w:p>
    <w:p>
      <w:pPr>
        <w:pStyle w:val="BodyText"/>
        <w:rPr>
          <w:b/>
          <w:bCs/>
          <w:sz w:val="21"/>
        </w:rPr>
      </w:pPr>
      <w:r>
        <w:rPr>
          <w:b/>
          <w:bCs/>
          <w:sz w:val="21"/>
        </w:rPr>
      </w:r>
    </w:p>
    <w:p>
      <w:pPr>
        <w:pStyle w:val="BodyText"/>
        <w:rPr/>
      </w:pPr>
      <w:r>
        <w:rPr>
          <w:sz w:val="21"/>
        </w:rPr>
        <w:t>The attention of the public in Japan is currently focused on energy sector reform due to the announcement of a national energy policy by the US government, energy problems being faced in California</w:t>
      </w:r>
      <w:r>
        <w:rPr>
          <w:sz w:val="21"/>
        </w:rPr>
        <w:t xml:space="preserve"> and elsewhere</w:t>
      </w:r>
      <w:r>
        <w:rPr>
          <w:sz w:val="21"/>
        </w:rPr>
        <w:t xml:space="preserve">, </w:t>
      </w:r>
      <w:r>
        <w:rPr>
          <w:sz w:val="21"/>
        </w:rPr>
        <w:t>and th</w:t>
      </w:r>
      <w:r>
        <w:rPr>
          <w:sz w:val="21"/>
        </w:rPr>
        <w:t>e continuing deliberations into regulatory reform process in the energy sector in Japan.</w:t>
      </w:r>
    </w:p>
    <w:p>
      <w:pPr>
        <w:pStyle w:val="BodyText"/>
        <w:rPr>
          <w:sz w:val="21"/>
        </w:rPr>
      </w:pPr>
      <w:r>
        <w:rPr>
          <w:sz w:val="21"/>
        </w:rPr>
      </w:r>
    </w:p>
    <w:p>
      <w:pPr>
        <w:pStyle w:val="BodyText"/>
        <w:rPr/>
      </w:pPr>
      <w:r>
        <w:rPr>
          <w:sz w:val="21"/>
        </w:rPr>
        <w:t xml:space="preserve">Further, widespread coverage of the </w:t>
      </w:r>
      <w:r>
        <w:rPr>
          <w:sz w:val="21"/>
        </w:rPr>
        <w:t xml:space="preserve">Enron commissioned paper on energy sector reform in Japan in </w:t>
      </w:r>
      <w:r>
        <w:rPr>
          <w:sz w:val="21"/>
        </w:rPr>
        <w:t>the domestic press has helped to focus the general public</w:t>
      </w:r>
      <w:r>
        <w:rPr>
          <w:sz w:val="21"/>
        </w:rPr>
        <w:t>’</w:t>
      </w:r>
      <w:r>
        <w:rPr>
          <w:sz w:val="21"/>
        </w:rPr>
        <w:t>s interest in energy issues. Enron</w:t>
      </w:r>
      <w:r>
        <w:rPr>
          <w:sz w:val="21"/>
        </w:rPr>
        <w:t xml:space="preserve"> related publicity linking energy sector reform </w:t>
      </w:r>
      <w:r>
        <w:rPr>
          <w:sz w:val="21"/>
        </w:rPr>
        <w:t xml:space="preserve">to lower prices and other benefits can be expected to </w:t>
      </w:r>
      <w:r>
        <w:rPr>
          <w:sz w:val="21"/>
        </w:rPr>
        <w:t xml:space="preserve">continue to maintain </w:t>
      </w:r>
      <w:r>
        <w:rPr>
          <w:sz w:val="21"/>
        </w:rPr>
        <w:t>public and media interest.</w:t>
      </w:r>
    </w:p>
    <w:p>
      <w:pPr>
        <w:pStyle w:val="BodyText"/>
        <w:rPr>
          <w:sz w:val="21"/>
        </w:rPr>
      </w:pPr>
      <w:r>
        <w:rPr>
          <w:sz w:val="21"/>
        </w:rPr>
      </w:r>
    </w:p>
    <w:p>
      <w:pPr>
        <w:pStyle w:val="Normal"/>
        <w:rPr>
          <w:sz w:val="21"/>
          <w:lang w:eastAsia="ja-JP"/>
        </w:rPr>
      </w:pPr>
      <w:r>
        <w:rPr>
          <w:sz w:val="21"/>
          <w:lang w:eastAsia="ja-JP"/>
        </w:rPr>
      </w:r>
    </w:p>
    <w:p>
      <w:pPr>
        <w:pStyle w:val="Heading1"/>
        <w:ind w:hanging="0" w:start="0"/>
        <w:rPr>
          <w:b w:val="false"/>
          <w:bCs w:val="false"/>
        </w:rPr>
      </w:pPr>
      <w:r>
        <w:rPr/>
        <w:t xml:space="preserve">5. Time is Right in </w:t>
      </w:r>
      <w:r>
        <w:rPr/>
        <w:t>the</w:t>
      </w:r>
      <w:r>
        <w:rPr/>
        <w:t xml:space="preserve"> US for a Bilateral Dialogue on Energy Policy</w:t>
      </w:r>
    </w:p>
    <w:p>
      <w:pPr>
        <w:pStyle w:val="Normal"/>
        <w:rPr>
          <w:b/>
          <w:bCs/>
          <w:sz w:val="21"/>
          <w:lang w:eastAsia="ja-JP"/>
        </w:rPr>
      </w:pPr>
      <w:r>
        <w:rPr>
          <w:b/>
          <w:bCs/>
          <w:sz w:val="21"/>
          <w:lang w:eastAsia="ja-JP"/>
        </w:rPr>
      </w:r>
    </w:p>
    <w:p>
      <w:pPr>
        <w:pStyle w:val="Normal"/>
        <w:ind w:firstLine="360" w:end="0"/>
        <w:rPr>
          <w:b/>
          <w:bCs/>
          <w:sz w:val="21"/>
          <w:lang w:eastAsia="ja-JP"/>
        </w:rPr>
      </w:pPr>
      <w:r>
        <w:rPr>
          <w:b/>
          <w:bCs/>
          <w:sz w:val="21"/>
          <w:lang w:eastAsia="ja-JP"/>
        </w:rPr>
        <w:t xml:space="preserve">5.1 US Government Focused on Energy Issues and Japanese Economic Reform </w:t>
      </w:r>
    </w:p>
    <w:p>
      <w:pPr>
        <w:pStyle w:val="Normal"/>
        <w:rPr>
          <w:b/>
          <w:bCs/>
          <w:sz w:val="21"/>
          <w:lang w:eastAsia="ja-JP"/>
        </w:rPr>
      </w:pPr>
      <w:r>
        <w:rPr>
          <w:b/>
          <w:bCs/>
          <w:sz w:val="21"/>
          <w:lang w:eastAsia="ja-JP"/>
        </w:rPr>
      </w:r>
    </w:p>
    <w:p>
      <w:pPr>
        <w:pStyle w:val="Normal"/>
        <w:jc w:val="both"/>
        <w:rPr/>
      </w:pPr>
      <w:r>
        <w:rPr>
          <w:sz w:val="21"/>
          <w:lang w:eastAsia="ja-JP"/>
        </w:rPr>
        <w:t xml:space="preserve">The US government is </w:t>
      </w:r>
      <w:r>
        <w:rPr>
          <w:sz w:val="21"/>
          <w:lang w:eastAsia="ja-JP"/>
        </w:rPr>
        <w:t xml:space="preserve">currently </w:t>
      </w:r>
      <w:r>
        <w:rPr>
          <w:sz w:val="21"/>
          <w:lang w:eastAsia="ja-JP"/>
        </w:rPr>
        <w:t xml:space="preserve">focused on energy policy issues, with ongoing domestic supply concerns and the announcement of the national energy policy by the Bush administration. </w:t>
      </w:r>
    </w:p>
    <w:p>
      <w:pPr>
        <w:pStyle w:val="Normal"/>
        <w:jc w:val="both"/>
        <w:rPr>
          <w:sz w:val="21"/>
          <w:lang w:eastAsia="ja-JP"/>
        </w:rPr>
      </w:pPr>
      <w:r>
        <w:rPr>
          <w:sz w:val="21"/>
          <w:lang w:eastAsia="ja-JP"/>
        </w:rPr>
      </w:r>
    </w:p>
    <w:p>
      <w:pPr>
        <w:pStyle w:val="Normal"/>
        <w:jc w:val="both"/>
        <w:rPr/>
      </w:pPr>
      <w:r>
        <w:rPr>
          <w:sz w:val="21"/>
          <w:lang w:eastAsia="ja-JP"/>
        </w:rPr>
        <w:t>The US government is also concerned with the continued economic malaise in Japan. The Japanese economy remains in a serious state, with international concern over the level of non-performing loans held by Japanese banks</w:t>
      </w:r>
      <w:r>
        <w:rPr>
          <w:rStyle w:val="FootnoteCharacters"/>
          <w:rStyle w:val="FootnoteReference"/>
          <w:sz w:val="21"/>
          <w:lang w:eastAsia="ja-JP"/>
        </w:rPr>
        <w:footnoteReference w:id="7"/>
      </w:r>
      <w:r>
        <w:rPr>
          <w:sz w:val="21"/>
          <w:lang w:eastAsia="ja-JP"/>
        </w:rPr>
        <w:t>, Japanese macro-economic trends, and the competitiveness of many sectors of Japanese domestic industry</w:t>
      </w:r>
      <w:r>
        <w:rPr>
          <w:rStyle w:val="FootnoteCharacters"/>
          <w:rStyle w:val="FootnoteReference"/>
          <w:sz w:val="21"/>
          <w:lang w:eastAsia="ja-JP"/>
        </w:rPr>
        <w:footnoteReference w:id="8"/>
      </w:r>
      <w:r>
        <w:rPr>
          <w:sz w:val="21"/>
          <w:lang w:eastAsia="ja-JP"/>
        </w:rPr>
        <w:t>.  The Japanese government has recognised that high domestic energy costs contribute to the loss of international competitiveness of Japanese companies</w:t>
      </w:r>
      <w:r>
        <w:rPr>
          <w:rStyle w:val="FootnoteCharacters"/>
          <w:rStyle w:val="FootnoteReference"/>
          <w:sz w:val="21"/>
          <w:lang w:eastAsia="ja-JP"/>
        </w:rPr>
        <w:footnoteReference w:id="9"/>
      </w:r>
      <w:r>
        <w:rPr>
          <w:sz w:val="21"/>
          <w:lang w:eastAsia="ja-JP"/>
        </w:rPr>
        <w:t>.</w:t>
      </w:r>
    </w:p>
    <w:p>
      <w:pPr>
        <w:pStyle w:val="Normal"/>
        <w:jc w:val="both"/>
        <w:rPr>
          <w:sz w:val="21"/>
          <w:lang w:eastAsia="ja-JP"/>
        </w:rPr>
      </w:pPr>
      <w:r>
        <w:rPr>
          <w:sz w:val="21"/>
          <w:lang w:eastAsia="ja-JP"/>
        </w:rPr>
      </w:r>
    </w:p>
    <w:p>
      <w:pPr>
        <w:pStyle w:val="BodyText"/>
        <w:rPr>
          <w:sz w:val="21"/>
        </w:rPr>
      </w:pPr>
      <w:r>
        <w:rPr>
          <w:sz w:val="21"/>
        </w:rPr>
        <w:t>Continuing weakness in the Japanese economy could have serious implications for the US-Japanese relationship in two ways. Firstly, trade relations between the two countries can be expected to worsen, in conjunction with the trade balance, if Japanese exports levels rise during a slowing US economy. This problem is exacerbated by the slow pace of sectoral reform retarding investment opportunities for US corporations within Japan.</w:t>
      </w:r>
    </w:p>
    <w:p>
      <w:pPr>
        <w:pStyle w:val="Normal"/>
        <w:rPr>
          <w:b/>
          <w:bCs/>
          <w:sz w:val="21"/>
          <w:lang w:eastAsia="ja-JP"/>
        </w:rPr>
      </w:pPr>
      <w:r>
        <w:rPr>
          <w:b/>
          <w:bCs/>
          <w:sz w:val="21"/>
          <w:lang w:eastAsia="ja-JP"/>
        </w:rPr>
      </w:r>
    </w:p>
    <w:p>
      <w:pPr>
        <w:pStyle w:val="Normal"/>
        <w:ind w:firstLine="360" w:end="0"/>
        <w:rPr>
          <w:sz w:val="21"/>
          <w:lang w:eastAsia="ja-JP"/>
        </w:rPr>
      </w:pPr>
      <w:r>
        <w:rPr>
          <w:b/>
          <w:bCs/>
          <w:sz w:val="21"/>
          <w:lang w:eastAsia="ja-JP"/>
        </w:rPr>
        <w:t>5.2 Bilateral Security Implications of Japanese Energy Policy</w:t>
      </w:r>
    </w:p>
    <w:p>
      <w:pPr>
        <w:pStyle w:val="Normal"/>
        <w:rPr>
          <w:sz w:val="21"/>
          <w:lang w:eastAsia="ja-JP"/>
        </w:rPr>
      </w:pPr>
      <w:r>
        <w:rPr>
          <w:sz w:val="21"/>
          <w:lang w:eastAsia="ja-JP"/>
        </w:rPr>
      </w:r>
    </w:p>
    <w:p>
      <w:pPr>
        <w:pStyle w:val="BodyText"/>
        <w:rPr/>
      </w:pPr>
      <w:r>
        <w:rPr>
          <w:sz w:val="21"/>
        </w:rPr>
        <w:t>Secondly, an anaemic Japanese economy leading to a long-term relative decline in Japan</w:t>
      </w:r>
      <w:r>
        <w:rPr>
          <w:sz w:val="21"/>
        </w:rPr>
        <w:t>’</w:t>
      </w:r>
      <w:r>
        <w:rPr>
          <w:sz w:val="21"/>
        </w:rPr>
        <w:t xml:space="preserve">s regional influence would be harmful to US security interests in the region. </w:t>
      </w:r>
    </w:p>
    <w:p>
      <w:pPr>
        <w:pStyle w:val="BodyText"/>
        <w:rPr>
          <w:sz w:val="21"/>
        </w:rPr>
      </w:pPr>
      <w:r>
        <w:rPr>
          <w:sz w:val="21"/>
        </w:rPr>
      </w:r>
    </w:p>
    <w:p>
      <w:pPr>
        <w:pStyle w:val="BodyText"/>
        <w:rPr/>
      </w:pPr>
      <w:r>
        <w:rPr>
          <w:sz w:val="21"/>
        </w:rPr>
        <w:t>The Bush Administration has reconfirmed the importance of US-Japan partnership as the lynchpin of stability and US influence in NE Asia. Energy security is a key component of this stability, and the internationalisation of Japan</w:t>
      </w:r>
      <w:r>
        <w:rPr>
          <w:sz w:val="21"/>
        </w:rPr>
        <w:t>’</w:t>
      </w:r>
      <w:r>
        <w:rPr>
          <w:sz w:val="21"/>
        </w:rPr>
        <w:t>s energy sector, and active participation in international debate on energy security, is crucial to US interests given the scale of projected increases in energy demand for China and India.</w:t>
      </w:r>
    </w:p>
    <w:p>
      <w:pPr>
        <w:pStyle w:val="Normal"/>
        <w:jc w:val="both"/>
        <w:rPr>
          <w:sz w:val="21"/>
          <w:lang w:eastAsia="ja-JP"/>
        </w:rPr>
      </w:pPr>
      <w:r>
        <w:rPr>
          <w:sz w:val="21"/>
          <w:lang w:eastAsia="ja-JP"/>
        </w:rPr>
      </w:r>
    </w:p>
    <w:p>
      <w:pPr>
        <w:pStyle w:val="Normal"/>
        <w:jc w:val="both"/>
        <w:rPr/>
      </w:pPr>
      <w:r>
        <w:rPr>
          <w:sz w:val="21"/>
          <w:lang w:eastAsia="ja-JP"/>
        </w:rPr>
        <w:t xml:space="preserve">The US government </w:t>
      </w:r>
      <w:r>
        <w:rPr>
          <w:sz w:val="21"/>
          <w:lang w:eastAsia="ja-JP"/>
        </w:rPr>
        <w:t>ha</w:t>
      </w:r>
      <w:r>
        <w:rPr>
          <w:sz w:val="21"/>
          <w:lang w:eastAsia="ja-JP"/>
        </w:rPr>
        <w:t xml:space="preserve">s engaged the Japanese government on a multilateral basis through the APEC Energy Working Group and the G8. Given the economic and security implications, the time is right for these discussions to be augmented through </w:t>
      </w:r>
      <w:r>
        <w:rPr>
          <w:sz w:val="21"/>
          <w:lang w:eastAsia="ja-JP"/>
        </w:rPr>
        <w:t xml:space="preserve">a high level </w:t>
      </w:r>
      <w:r>
        <w:rPr>
          <w:sz w:val="21"/>
          <w:lang w:eastAsia="ja-JP"/>
        </w:rPr>
        <w:t xml:space="preserve">bilateral dialogue on energy sector reform. </w:t>
      </w:r>
    </w:p>
    <w:p>
      <w:pPr>
        <w:pStyle w:val="Normal"/>
        <w:jc w:val="both"/>
        <w:rPr>
          <w:sz w:val="21"/>
          <w:lang w:eastAsia="ja-JP"/>
        </w:rPr>
      </w:pPr>
      <w:r>
        <w:rPr>
          <w:sz w:val="21"/>
          <w:lang w:eastAsia="ja-JP"/>
        </w:rPr>
      </w:r>
    </w:p>
    <w:sectPr>
      <w:footerReference w:type="default" r:id="rId2"/>
      <w:footnotePr>
        <w:numFmt w:val="decimal"/>
      </w:footnotePr>
      <w:type w:val="nextPage"/>
      <w:pgSz w:w="11906" w:h="16838"/>
      <w:pgMar w:left="1800" w:right="1800" w:gutter="0" w:header="0" w:top="1440" w:footer="720" w:bottom="16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8105" cy="160655"/>
              <wp:effectExtent l="0" t="0" r="0" b="0"/>
              <wp:wrapSquare wrapText="bothSides"/>
              <wp:docPr id="2"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204.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sz w:val="18"/>
        </w:rPr>
        <w:t xml:space="preserve"> </w:t>
      </w:r>
      <w:r>
        <w:rPr>
          <w:sz w:val="18"/>
          <w:lang w:eastAsia="ja-JP"/>
        </w:rPr>
        <w:t>The utilities introduced a uniform electricity price reduction averaging 5.42% in October 2000. Nevertheless the average price for electricity the liberalized sector of the Japanese market for April-September 2000 was 10.26c per kWh (11.04 yen) for industrial, and 16.15c (17.36 yen) for commercial customers.</w:t>
      </w:r>
    </w:p>
  </w:footnote>
  <w:footnote w:id="3">
    <w:p>
      <w:pPr>
        <w:pStyle w:val="FootnoteText"/>
        <w:rPr/>
      </w:pPr>
      <w:r>
        <w:rPr>
          <w:rStyle w:val="FootnoteCharacters"/>
        </w:rPr>
        <w:footnoteRef/>
      </w:r>
      <w:r>
        <w:rPr>
          <w:sz w:val="18"/>
        </w:rPr>
        <w:t xml:space="preserve"> </w:t>
      </w:r>
      <w:r>
        <w:rPr>
          <w:sz w:val="18"/>
          <w:lang w:eastAsia="ja-JP"/>
        </w:rPr>
        <w:t xml:space="preserve">The Japanese Regulatory Reform Committee has pointed out problems with system design </w:t>
      </w:r>
      <w:r>
        <w:rPr>
          <w:sz w:val="18"/>
          <w:lang w:eastAsia="ja-JP"/>
        </w:rPr>
        <w:t>and</w:t>
      </w:r>
      <w:r>
        <w:rPr>
          <w:sz w:val="18"/>
          <w:lang w:eastAsia="ja-JP"/>
        </w:rPr>
        <w:t xml:space="preserve"> the existence of potentially anti-competitive behaviour in </w:t>
      </w:r>
      <w:r>
        <w:rPr>
          <w:sz w:val="18"/>
          <w:lang w:eastAsia="ja-JP"/>
        </w:rPr>
        <w:t>its</w:t>
      </w:r>
      <w:r>
        <w:rPr>
          <w:sz w:val="18"/>
          <w:lang w:eastAsia="ja-JP"/>
        </w:rPr>
        <w:t xml:space="preserve"> December 2000 report. METI and the Japanese Fair Trade Commission have also released guidelines in response to complaints on market conditions</w:t>
      </w:r>
      <w:r>
        <w:rPr>
          <w:sz w:val="18"/>
          <w:lang w:eastAsia="ja-JP"/>
        </w:rPr>
        <w:t xml:space="preserve"> </w:t>
      </w:r>
      <w:r>
        <w:rPr>
          <w:sz w:val="18"/>
          <w:lang w:eastAsia="ja-JP"/>
        </w:rPr>
        <w:t>by new entrants.</w:t>
      </w:r>
    </w:p>
  </w:footnote>
  <w:footnote w:id="4">
    <w:p>
      <w:pPr>
        <w:pStyle w:val="FootnoteText"/>
        <w:jc w:val="both"/>
        <w:rPr/>
      </w:pPr>
      <w:r>
        <w:rPr>
          <w:rStyle w:val="FootnoteCharacters"/>
        </w:rPr>
        <w:footnoteRef/>
      </w:r>
      <w:r>
        <w:rPr>
          <w:sz w:val="18"/>
        </w:rPr>
        <w:t xml:space="preserve"> </w:t>
      </w:r>
      <w:r>
        <w:rPr>
          <w:sz w:val="18"/>
          <w:lang w:eastAsia="ja-JP"/>
        </w:rPr>
        <w:t xml:space="preserve">The Brattle Group, for example, found in a report recently commissioned by Enron Japan that Japanese industrial customers would have saved 4,175 billion yen in 1998 alone if industrial electricity </w:t>
      </w:r>
      <w:r>
        <w:rPr>
          <w:sz w:val="18"/>
          <w:lang w:eastAsia="ja-JP"/>
        </w:rPr>
        <w:t xml:space="preserve">prices </w:t>
      </w:r>
      <w:r>
        <w:rPr>
          <w:sz w:val="18"/>
          <w:lang w:eastAsia="ja-JP"/>
        </w:rPr>
        <w:t xml:space="preserve">were reduced to </w:t>
      </w:r>
      <w:r>
        <w:rPr>
          <w:sz w:val="18"/>
          <w:lang w:eastAsia="ja-JP"/>
        </w:rPr>
        <w:t xml:space="preserve">OECD </w:t>
      </w:r>
      <w:r>
        <w:rPr>
          <w:sz w:val="18"/>
          <w:lang w:eastAsia="ja-JP"/>
        </w:rPr>
        <w:t>levels.</w:t>
      </w:r>
    </w:p>
  </w:footnote>
  <w:footnote w:id="5">
    <w:p>
      <w:pPr>
        <w:pStyle w:val="FootnoteText"/>
        <w:jc w:val="both"/>
        <w:rPr/>
      </w:pPr>
      <w:r>
        <w:rPr>
          <w:rStyle w:val="FootnoteCharacters"/>
        </w:rPr>
        <w:footnoteRef/>
      </w:r>
      <w:r>
        <w:rPr>
          <w:sz w:val="18"/>
        </w:rPr>
        <w:t xml:space="preserve"> </w:t>
      </w:r>
      <w:r>
        <w:rPr>
          <w:sz w:val="18"/>
          <w:lang w:eastAsia="ja-JP"/>
        </w:rPr>
        <w:t xml:space="preserve">A METI research affiliate stated in a recent report that domestic power consumption by IT-related equipment </w:t>
      </w:r>
      <w:r>
        <w:rPr>
          <w:sz w:val="18"/>
          <w:lang w:eastAsia="ja-JP"/>
        </w:rPr>
        <w:t>i</w:t>
      </w:r>
      <w:r>
        <w:rPr>
          <w:sz w:val="18"/>
          <w:lang w:eastAsia="ja-JP"/>
        </w:rPr>
        <w:t xml:space="preserve">s </w:t>
      </w:r>
      <w:r>
        <w:rPr>
          <w:sz w:val="18"/>
          <w:lang w:eastAsia="ja-JP"/>
        </w:rPr>
        <w:t>expected</w:t>
      </w:r>
      <w:r>
        <w:rPr>
          <w:sz w:val="18"/>
          <w:lang w:eastAsia="ja-JP"/>
        </w:rPr>
        <w:t xml:space="preserve"> to rise 700% in 2010 over 2000 levels.</w:t>
      </w:r>
    </w:p>
  </w:footnote>
  <w:footnote w:id="6">
    <w:p>
      <w:pPr>
        <w:pStyle w:val="FootnoteText"/>
        <w:jc w:val="both"/>
        <w:rPr/>
      </w:pPr>
      <w:r>
        <w:rPr>
          <w:rStyle w:val="FootnoteCharacters"/>
        </w:rPr>
        <w:footnoteRef/>
      </w:r>
      <w:r>
        <w:rPr>
          <w:sz w:val="18"/>
        </w:rPr>
        <w:t xml:space="preserve"> </w:t>
      </w:r>
      <w:r>
        <w:rPr>
          <w:sz w:val="18"/>
          <w:lang w:eastAsia="ja-JP"/>
        </w:rPr>
        <w:t xml:space="preserve">Policy change has traditionally been implemented through the interaction of </w:t>
      </w:r>
      <w:r>
        <w:rPr>
          <w:sz w:val="18"/>
          <w:lang w:eastAsia="ja-JP"/>
        </w:rPr>
        <w:t>political, bureauc</w:t>
      </w:r>
      <w:r>
        <w:rPr>
          <w:sz w:val="18"/>
          <w:lang w:eastAsia="ja-JP"/>
        </w:rPr>
        <w:t>ratic, and large corporate interests.</w:t>
      </w:r>
    </w:p>
  </w:footnote>
  <w:footnote w:id="7">
    <w:p>
      <w:pPr>
        <w:pStyle w:val="FootnoteText"/>
        <w:jc w:val="both"/>
        <w:rPr/>
      </w:pPr>
      <w:r>
        <w:rPr>
          <w:rStyle w:val="FootnoteCharacters"/>
        </w:rPr>
        <w:footnoteRef/>
      </w:r>
      <w:r>
        <w:rPr>
          <w:sz w:val="18"/>
        </w:rPr>
        <w:t xml:space="preserve"> </w:t>
      </w:r>
      <w:r>
        <w:rPr>
          <w:sz w:val="18"/>
          <w:lang w:eastAsia="ja-JP"/>
        </w:rPr>
        <w:t xml:space="preserve">The Japanese government recently confirmed that the level of non-performing loans held by </w:t>
      </w:r>
      <w:r>
        <w:rPr>
          <w:sz w:val="18"/>
          <w:lang w:eastAsia="ja-JP"/>
        </w:rPr>
        <w:t>domestic</w:t>
      </w:r>
      <w:r>
        <w:rPr>
          <w:sz w:val="18"/>
          <w:lang w:eastAsia="ja-JP"/>
        </w:rPr>
        <w:t xml:space="preserve"> banks could be as high as 150 trillion yen (Asahi Shimbun, April 1, 2001).</w:t>
      </w:r>
    </w:p>
  </w:footnote>
  <w:footnote w:id="8">
    <w:p>
      <w:pPr>
        <w:pStyle w:val="FootnoteText"/>
        <w:jc w:val="both"/>
        <w:rPr/>
      </w:pPr>
      <w:r>
        <w:rPr>
          <w:rStyle w:val="FootnoteCharacters"/>
        </w:rPr>
        <w:footnoteRef/>
      </w:r>
      <w:r>
        <w:rPr>
          <w:sz w:val="18"/>
        </w:rPr>
        <w:t xml:space="preserve"> </w:t>
      </w:r>
      <w:r>
        <w:rPr>
          <w:sz w:val="18"/>
          <w:lang w:eastAsia="ja-JP"/>
        </w:rPr>
        <w:t>In its White Paper on International Trade for 2001, for example, the government points out that Japan has lost international competitiveness due to the slow pace and small scale of regulatory reform (p.120-121).</w:t>
      </w:r>
    </w:p>
  </w:footnote>
  <w:footnote w:id="9">
    <w:p>
      <w:pPr>
        <w:pStyle w:val="FootnoteText"/>
        <w:jc w:val="both"/>
        <w:rPr/>
      </w:pPr>
      <w:r>
        <w:rPr>
          <w:rStyle w:val="FootnoteCharacters"/>
        </w:rPr>
        <w:footnoteRef/>
      </w:r>
      <w:r>
        <w:rPr>
          <w:sz w:val="18"/>
        </w:rPr>
        <w:t xml:space="preserve"> </w:t>
      </w:r>
      <w:r>
        <w:rPr>
          <w:sz w:val="18"/>
        </w:rPr>
        <w:t xml:space="preserve">In the third follow up to the Action Plan for New Economic Growth, adopted by </w:t>
      </w:r>
      <w:r>
        <w:rPr>
          <w:sz w:val="18"/>
          <w:lang w:eastAsia="ja-JP"/>
        </w:rPr>
        <w:t xml:space="preserve">the Japanese </w:t>
      </w:r>
      <w:r>
        <w:rPr>
          <w:sz w:val="18"/>
        </w:rPr>
        <w:t>Cabinet in December 2000, the government recognises energy as one of the sectors underpinning Japan's industrial structure, and states that promoting regulatory reform and competitiveness in the energy sector will help to increase productivity, rectify the high cost structure, and increase Japan's international competitiveness.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MS Mincho;ＭＳ 明朝" w:cs="Arial"/>
      <w:color w:val="auto"/>
      <w:sz w:val="22"/>
      <w:szCs w:val="24"/>
      <w:lang w:val="en-GB" w:bidi="ar-SA" w:eastAsia="zh-CN"/>
    </w:rPr>
  </w:style>
  <w:style w:type="paragraph" w:styleId="Heading1">
    <w:name w:val="heading 1"/>
    <w:basedOn w:val="Normal"/>
    <w:next w:val="Normal"/>
    <w:qFormat/>
    <w:pPr>
      <w:keepNext w:val="true"/>
      <w:numPr>
        <w:ilvl w:val="0"/>
        <w:numId w:val="1"/>
      </w:numPr>
      <w:outlineLvl w:val="0"/>
    </w:pPr>
    <w:rPr>
      <w:b/>
      <w:bCs/>
      <w:lang w:eastAsia="ja-JP"/>
    </w:rPr>
  </w:style>
  <w:style w:type="character" w:styleId="WW8Num1z0">
    <w:name w:val="WW8Num1z0"/>
    <w:qFormat/>
    <w:rPr>
      <w:rFonts w:ascii="Symbol" w:hAnsi="Symbol" w:eastAsia="MS Mincho;ＭＳ 明朝" w:cs="Arial"/>
    </w:rPr>
  </w:style>
  <w:style w:type="character" w:styleId="WW8Num1z1">
    <w:name w:val="WW8Num1z1"/>
    <w:qFormat/>
    <w:rPr>
      <w:rFonts w:ascii="Times New Roman" w:hAnsi="Times New Roman" w:eastAsia="MS Mincho;ＭＳ 明朝" w:cs="Times New Roman"/>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Symbol" w:hAnsi="Symbol" w:eastAsia="MS Mincho;ＭＳ 明朝"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lang w:eastAsia="ja-JP"/>
    </w:rPr>
  </w:style>
  <w:style w:type="paragraph" w:styleId="BodyText">
    <w:name w:val="Body Text"/>
    <w:basedOn w:val="Normal"/>
    <w:pPr>
      <w:jc w:val="both"/>
    </w:pPr>
    <w:rPr>
      <w:lang w:eastAsia="ja-JP"/>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lang w:eastAsia="ja-JP"/>
    </w:rPr>
  </w:style>
  <w:style w:type="paragraph" w:styleId="BlockText">
    <w:name w:val="Block Text"/>
    <w:basedOn w:val="Normal"/>
    <w:qFormat/>
    <w:pPr>
      <w:ind w:hanging="0" w:start="1080" w:end="1349"/>
      <w:jc w:val="both"/>
    </w:pPr>
    <w:rPr>
      <w:lang w:eastAsia="ja-JP"/>
    </w:rPr>
  </w:style>
  <w:style w:type="paragraph" w:styleId="FootnoteText">
    <w:name w:val="footnote text"/>
    <w:basedOn w:val="Normal"/>
    <w:pPr/>
    <w:rPr>
      <w:sz w:val="20"/>
      <w:szCs w:val="20"/>
    </w:rPr>
  </w:style>
  <w:style w:type="paragraph" w:styleId="BodyTextIndent">
    <w:name w:val="Body Text Indent"/>
    <w:basedOn w:val="Normal"/>
    <w:pPr>
      <w:ind w:firstLine="720" w:start="0" w:end="0"/>
    </w:pPr>
    <w:rPr>
      <w:b/>
      <w:bCs/>
      <w:sz w:val="20"/>
      <w:lang w:eastAsia="ja-JP"/>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419" w:leader="none"/>
        <w:tab w:val="right" w:pos="8838"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2001-05-24T07:25:00Z</dcterms:created>
  <dc:creator>lhughes2</dc:creator>
  <dc:description/>
  <dc:language>en-CA</dc:language>
  <cp:lastModifiedBy>noday</cp:lastModifiedBy>
  <cp:lastPrinted>2001-05-29T12:13:00Z</cp:lastPrinted>
  <dcterms:modified xsi:type="dcterms:W3CDTF">2001-05-30T11:21:00Z</dcterms:modified>
  <cp:revision>15</cp:revision>
  <dc:subject/>
  <dc:title>Proposal for Greater US-Japanese Government Engagement on Energy Policy</dc:title>
</cp:coreProperties>
</file>