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January 18, 2001</w:t>
      </w:r>
    </w:p>
    <w:p>
      <w:pPr>
        <w:pStyle w:val="Normal"/>
        <w:rPr/>
      </w:pPr>
      <w:r>
        <w:rPr/>
      </w:r>
    </w:p>
    <w:p>
      <w:pPr>
        <w:pStyle w:val="Normal"/>
        <w:rPr/>
      </w:pPr>
      <w:r>
        <w:rPr/>
      </w:r>
    </w:p>
    <w:p>
      <w:pPr>
        <w:pStyle w:val="Normal"/>
        <w:rPr/>
      </w:pPr>
      <w:r>
        <w:rPr/>
      </w:r>
    </w:p>
    <w:p>
      <w:pPr>
        <w:pStyle w:val="Normal"/>
        <w:rPr/>
      </w:pPr>
      <w:r>
        <w:rPr/>
        <w:t>Dave Engbrock</w:t>
      </w:r>
    </w:p>
    <w:p>
      <w:pPr>
        <w:pStyle w:val="Normal"/>
        <w:rPr/>
      </w:pPr>
      <w:r>
        <w:rPr/>
        <w:t>e prime, Inc.</w:t>
        <w:tab/>
        <w:tab/>
        <w:tab/>
        <w:tab/>
        <w:tab/>
        <w:tab/>
        <w:tab/>
        <w:tab/>
        <w:tab/>
      </w:r>
      <w:r>
        <w:rPr>
          <w:b/>
          <w:bCs/>
          <w:sz w:val="24"/>
          <w:szCs w:val="24"/>
        </w:rPr>
        <w:t>DRAFT</w:t>
      </w:r>
    </w:p>
    <w:p>
      <w:pPr>
        <w:pStyle w:val="Normal"/>
        <w:rPr/>
      </w:pPr>
      <w:r>
        <w:rPr/>
        <w:t>1099 18</w:t>
      </w:r>
      <w:r>
        <w:rPr>
          <w:vertAlign w:val="superscript"/>
        </w:rPr>
        <w:t>th</w:t>
      </w:r>
      <w:r>
        <w:rPr/>
        <w:t xml:space="preserve"> St., Suite 3000</w:t>
      </w:r>
    </w:p>
    <w:p>
      <w:pPr>
        <w:pStyle w:val="Normal"/>
        <w:rPr/>
      </w:pPr>
      <w:r>
        <w:rPr/>
        <w:t>Denver, CO</w:t>
        <w:tab/>
        <w:t>80202</w:t>
      </w:r>
    </w:p>
    <w:p>
      <w:pPr>
        <w:pStyle w:val="Normal"/>
        <w:rPr/>
      </w:pPr>
      <w:r>
        <w:rPr/>
      </w:r>
    </w:p>
    <w:p>
      <w:pPr>
        <w:pStyle w:val="Normal"/>
        <w:rPr/>
      </w:pPr>
      <w:r>
        <w:rPr/>
      </w:r>
    </w:p>
    <w:p>
      <w:pPr>
        <w:pStyle w:val="Normal"/>
        <w:rPr/>
      </w:pPr>
      <w:r>
        <w:rPr/>
        <w:t xml:space="preserve">Via Internet: </w:t>
      </w:r>
      <w:r>
        <w:rPr>
          <w:rStyle w:val="Hyperlink"/>
        </w:rPr>
        <w:t>david.engbrock@eprime.com</w:t>
      </w:r>
    </w:p>
    <w:p>
      <w:pPr>
        <w:pStyle w:val="Normal"/>
        <w:rPr/>
      </w:pPr>
      <w:r>
        <w:rPr/>
      </w:r>
    </w:p>
    <w:p>
      <w:pPr>
        <w:pStyle w:val="Normal"/>
        <w:rPr/>
      </w:pPr>
      <w:r>
        <w:rPr/>
      </w:r>
    </w:p>
    <w:p>
      <w:pPr>
        <w:pStyle w:val="Normal"/>
        <w:rPr/>
      </w:pPr>
      <w:r>
        <w:rPr/>
      </w:r>
    </w:p>
    <w:p>
      <w:pPr>
        <w:pStyle w:val="Normal"/>
        <w:rPr/>
      </w:pPr>
      <w:r>
        <w:rPr/>
        <w:t>Proposal for Transportation Services:</w:t>
      </w:r>
    </w:p>
    <w:p>
      <w:pPr>
        <w:pStyle w:val="Normal"/>
        <w:rPr/>
      </w:pPr>
      <w:r>
        <w:rPr/>
      </w:r>
    </w:p>
    <w:p>
      <w:pPr>
        <w:pStyle w:val="Normal"/>
        <w:rPr/>
      </w:pPr>
      <w:r>
        <w:rPr/>
      </w:r>
    </w:p>
    <w:p>
      <w:pPr>
        <w:pStyle w:val="Normal"/>
        <w:rPr/>
      </w:pPr>
      <w:r>
        <w:rPr/>
        <w:t>Transwestern Pipeline (TW) extends a proposal for transportation services to Southwest Public Service (SPS) in consideration of capital contributions made by SPS to establish a new interconnect with TW in Potter Co., TX to enable TW to make deliveries to the Nichols Station.</w:t>
      </w:r>
    </w:p>
    <w:p>
      <w:pPr>
        <w:pStyle w:val="Normal"/>
        <w:rPr/>
      </w:pPr>
      <w:r>
        <w:rPr/>
      </w:r>
    </w:p>
    <w:p>
      <w:pPr>
        <w:pStyle w:val="Normal"/>
        <w:rPr/>
      </w:pPr>
      <w:r>
        <w:rPr/>
        <w:t>TW will propose the following rates for a period of five years:</w:t>
      </w:r>
    </w:p>
    <w:p>
      <w:pPr>
        <w:pStyle w:val="Normal"/>
        <w:rPr/>
      </w:pPr>
      <w:r>
        <w:rPr/>
        <w:t xml:space="preserve"> </w:t>
      </w:r>
    </w:p>
    <w:p>
      <w:pPr>
        <w:pStyle w:val="Normal"/>
        <w:rPr/>
      </w:pPr>
      <w:r>
        <w:rPr/>
      </w:r>
    </w:p>
    <w:p>
      <w:pPr>
        <w:pStyle w:val="Normal"/>
        <w:rPr/>
      </w:pPr>
      <w:r>
        <w:rPr/>
        <w:tab/>
        <w:t>0   to   4 BCF</w:t>
        <w:tab/>
        <w:t>$0.03/mmbtu plus applicable FERC Gas Tariff fuel</w:t>
      </w:r>
    </w:p>
    <w:p>
      <w:pPr>
        <w:pStyle w:val="Normal"/>
        <w:rPr/>
      </w:pPr>
      <w:r>
        <w:rPr/>
        <w:tab/>
        <w:t>4+ to   8 BCF</w:t>
        <w:tab/>
        <w:t>$0.02/mmbtu plus applicable FERC Gas Tariff fuel</w:t>
      </w:r>
    </w:p>
    <w:p>
      <w:pPr>
        <w:pStyle w:val="Normal"/>
        <w:rPr/>
      </w:pPr>
      <w:r>
        <w:rPr/>
        <w:tab/>
        <w:t>8+ to 10 BCF</w:t>
        <w:tab/>
        <w:t>$0.03/mmbtu plus applicable FERC Gas Tariff fuel</w:t>
      </w:r>
    </w:p>
    <w:p>
      <w:pPr>
        <w:pStyle w:val="Normal"/>
        <w:rPr/>
      </w:pPr>
      <w:r>
        <w:rPr/>
      </w:r>
    </w:p>
    <w:p>
      <w:pPr>
        <w:pStyle w:val="Normal"/>
        <w:rPr/>
      </w:pPr>
      <w:r>
        <w:rPr/>
        <w:tab/>
        <w:t>These rates include the GRI and ACA surcharges.</w:t>
      </w:r>
    </w:p>
    <w:p>
      <w:pPr>
        <w:pStyle w:val="Normal"/>
        <w:rPr/>
      </w:pPr>
      <w:r>
        <w:rPr/>
      </w:r>
    </w:p>
    <w:p>
      <w:pPr>
        <w:pStyle w:val="Normal"/>
        <w:rPr/>
      </w:pPr>
      <w:r>
        <w:rPr/>
      </w:r>
    </w:p>
    <w:p>
      <w:pPr>
        <w:pStyle w:val="Normal"/>
        <w:rPr/>
      </w:pPr>
      <w:r>
        <w:rPr/>
        <w:t>At the end of the original 5 year term, both parties may elect to extend the primary term for and additional 5 years.  The secondary term will provide for a contract quantity of 10 BCF at a rate of $0.03/mmbtu plus applicable FERC Gas Tariff fuel, inclusive of GRI and ACA surcharges.</w:t>
      </w:r>
    </w:p>
    <w:p>
      <w:pPr>
        <w:pStyle w:val="Normal"/>
        <w:rPr/>
      </w:pPr>
      <w:r>
        <w:rPr/>
      </w:r>
    </w:p>
    <w:p>
      <w:pPr>
        <w:pStyle w:val="Normal"/>
        <w:rPr/>
      </w:pPr>
      <w:r>
        <w:rPr/>
        <w:t>Transport activity will be limited to the West Texas and Panhandle laterals only.  It is anticipated volumes will flow from the West Texas, or Panhandle Pools for deliveries to the new Potter Co. delivery point.  In the event, volumes are received by TW at this new point, they could be delivered to other SPS facilities on TW, as they are established (ie: Cunningham or Maddox in Lea Co. NM), or to Northern Natural Gas, for subsequent transportation to other SPS affiliated facilities.  These deliveries would be made as Alternate Delivery Points.</w:t>
      </w:r>
    </w:p>
    <w:p>
      <w:pPr>
        <w:pStyle w:val="Normal"/>
        <w:rPr/>
      </w:pPr>
      <w:r>
        <w:rPr/>
      </w:r>
    </w:p>
    <w:p>
      <w:pPr>
        <w:pStyle w:val="Normal"/>
        <w:rPr/>
      </w:pPr>
      <w:r>
        <w:rPr/>
        <w:t>This proposal contemplates commitments for throughput by SPS, and rate stability by TW.  Volumes would flow to identified points under new FT Contracts.  These terms are presented for discussion purposes only, and will require mutual Management approval.</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2001-01-18T19:31:00Z</dcterms:created>
  <dc:creator>Enron</dc:creator>
  <dc:description/>
  <dc:language>en-CA</dc:language>
  <cp:lastModifiedBy>Enron</cp:lastModifiedBy>
  <cp:lastPrinted>2001-01-18T16:09:00Z</cp:lastPrinted>
  <dcterms:modified xsi:type="dcterms:W3CDTF">2001-01-18T19:41:00Z</dcterms:modified>
  <cp:revision>5</cp:revision>
  <dc:subject/>
  <dc:title>Proposal for Transportation:</dc:title>
</cp:coreProperties>
</file>