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b/>
          <w:bCs/>
        </w:rPr>
        <w:t>Longview Energy Development Project</w:t>
      </w:r>
      <w:r>
        <w:rPr>
          <w:b/>
          <w:bCs/>
          <w:u w:val="single"/>
        </w:rPr>
        <w:t xml:space="preserve"> </w:t>
      </w:r>
    </w:p>
    <w:p>
      <w:pPr>
        <w:pStyle w:val="Normal"/>
        <w:jc w:val="center"/>
        <w:rPr>
          <w:b/>
          <w:bCs/>
          <w:u w:val="single"/>
        </w:rPr>
      </w:pPr>
      <w:r>
        <w:rPr>
          <w:b/>
          <w:bCs/>
          <w:u w:val="single"/>
        </w:rPr>
      </w:r>
    </w:p>
    <w:p>
      <w:pPr>
        <w:pStyle w:val="Normal"/>
        <w:jc w:val="center"/>
        <w:rPr>
          <w:b/>
          <w:bCs/>
          <w:u w:val="single"/>
        </w:rPr>
      </w:pPr>
      <w:r>
        <w:rPr>
          <w:b/>
          <w:bCs/>
          <w:u w:val="single"/>
        </w:rPr>
        <w:t>Fixed Overhead and Profit, Reimbursable Labor and Benefits Contract</w:t>
      </w:r>
    </w:p>
    <w:p>
      <w:pPr>
        <w:pStyle w:val="Normal"/>
        <w:jc w:val="center"/>
        <w:rPr>
          <w:b/>
          <w:bCs/>
        </w:rPr>
      </w:pPr>
      <w:r>
        <w:rPr>
          <w:b/>
          <w:bCs/>
          <w:u w:val="single"/>
        </w:rPr>
        <w:t>Proposal for Basis of Payments to Engineering Subcontractor</w:t>
      </w:r>
    </w:p>
    <w:p>
      <w:pPr>
        <w:pStyle w:val="Normal"/>
        <w:jc w:val="center"/>
        <w:rPr>
          <w:b/>
          <w:bCs/>
        </w:rPr>
      </w:pPr>
      <w:r>
        <w:rPr>
          <w:b/>
          <w:bCs/>
        </w:rPr>
      </w:r>
    </w:p>
    <w:p>
      <w:pPr>
        <w:pStyle w:val="Normal"/>
        <w:rPr>
          <w:b/>
          <w:bCs/>
          <w:u w:val="single"/>
        </w:rPr>
      </w:pPr>
      <w:r>
        <w:rPr>
          <w:b/>
          <w:bCs/>
          <w:u w:val="single"/>
        </w:rPr>
      </w:r>
    </w:p>
    <w:p>
      <w:pPr>
        <w:pStyle w:val="Normal"/>
        <w:rPr/>
      </w:pPr>
      <w:r>
        <w:rPr/>
        <w:t>I.</w:t>
        <w:tab/>
      </w:r>
      <w:r>
        <w:rPr>
          <w:u w:val="single"/>
        </w:rPr>
        <w:t>Pre-NTP PSA Agreement</w:t>
      </w:r>
    </w:p>
    <w:p>
      <w:pPr>
        <w:pStyle w:val="Normal"/>
        <w:rPr>
          <w:u w:val="single"/>
        </w:rPr>
      </w:pPr>
      <w:r>
        <w:rPr>
          <w:u w:val="single"/>
        </w:rPr>
      </w:r>
    </w:p>
    <w:p>
      <w:pPr>
        <w:pStyle w:val="Normal"/>
        <w:ind w:firstLine="720" w:end="0"/>
        <w:rPr/>
      </w:pPr>
      <w:r>
        <w:rPr/>
        <w:t>Based on a list of Deliverables to be produced during the following periods:</w:t>
      </w:r>
    </w:p>
    <w:p>
      <w:pPr>
        <w:pStyle w:val="Normal"/>
        <w:ind w:firstLine="720" w:end="0"/>
        <w:rPr/>
      </w:pPr>
      <w:r>
        <w:rPr/>
      </w:r>
    </w:p>
    <w:p>
      <w:pPr>
        <w:pStyle w:val="Normal"/>
        <w:ind w:start="720" w:end="0"/>
        <w:rPr/>
      </w:pPr>
      <w:r>
        <w:rPr/>
        <w:t>A.</w:t>
        <w:tab/>
        <w:t>September 1 - 14:</w:t>
        <w:tab/>
        <w:tab/>
        <w:t>Lump Sum $150,000</w:t>
      </w:r>
    </w:p>
    <w:p>
      <w:pPr>
        <w:pStyle w:val="Normal"/>
        <w:ind w:start="720" w:end="0"/>
        <w:rPr/>
      </w:pPr>
      <w:r>
        <w:rPr/>
      </w:r>
    </w:p>
    <w:p>
      <w:pPr>
        <w:pStyle w:val="Normal"/>
        <w:ind w:start="720" w:end="0"/>
        <w:rPr/>
      </w:pPr>
      <w:r>
        <w:rPr/>
        <w:t>B.</w:t>
        <w:tab/>
        <w:t>September 15 - 30:</w:t>
        <w:tab/>
        <w:tab/>
        <w:t>T&amp;M not to exceed $150,000</w:t>
      </w:r>
    </w:p>
    <w:p>
      <w:pPr>
        <w:pStyle w:val="Normal"/>
        <w:ind w:start="720" w:end="0"/>
        <w:rPr/>
      </w:pPr>
      <w:r>
        <w:rPr/>
      </w:r>
    </w:p>
    <w:p>
      <w:pPr>
        <w:pStyle w:val="Normal"/>
        <w:ind w:start="720" w:end="0"/>
        <w:rPr/>
      </w:pPr>
      <w:r>
        <w:rPr/>
        <w:t>C.</w:t>
        <w:tab/>
        <w:t>October 1 - 31:</w:t>
        <w:tab/>
        <w:tab/>
        <w:t>T&amp;M not to exceed $300,000</w:t>
      </w:r>
    </w:p>
    <w:p>
      <w:pPr>
        <w:pStyle w:val="Normal"/>
        <w:rPr/>
      </w:pPr>
      <w:r>
        <w:rPr/>
      </w:r>
    </w:p>
    <w:p>
      <w:pPr>
        <w:pStyle w:val="Normal"/>
        <w:rPr/>
      </w:pPr>
      <w:r>
        <w:rPr/>
        <w:t>II.</w:t>
        <w:tab/>
      </w:r>
      <w:r>
        <w:rPr>
          <w:u w:val="single"/>
        </w:rPr>
        <w:t>NTP PSA Agreement</w:t>
      </w:r>
    </w:p>
    <w:p>
      <w:pPr>
        <w:pStyle w:val="Normal"/>
        <w:rPr/>
      </w:pPr>
      <w:r>
        <w:rPr/>
      </w:r>
    </w:p>
    <w:p>
      <w:pPr>
        <w:pStyle w:val="Normal"/>
        <w:ind w:hanging="720" w:start="1440" w:end="0"/>
        <w:rPr/>
      </w:pPr>
      <w:r>
        <w:rPr/>
        <w:t>A.</w:t>
        <w:tab/>
        <w:t>All costs, including third party engineering or consulting work, travel, or engineering materials associated with the Detailed Engineering and Procurement Services will be calculated in a Lump Sum price.  The Lump Sum will provide the basis for a Fixed Overhead and Profit, Reimbursable Labor and Benefits Contract.</w:t>
      </w:r>
    </w:p>
    <w:p>
      <w:pPr>
        <w:pStyle w:val="Normal"/>
        <w:ind w:firstLine="720" w:end="0"/>
        <w:rPr/>
      </w:pPr>
      <w:r>
        <w:rPr/>
      </w:r>
    </w:p>
    <w:p>
      <w:pPr>
        <w:pStyle w:val="Normal"/>
        <w:ind w:hanging="720" w:start="1440" w:end="0"/>
        <w:rPr/>
      </w:pPr>
      <w:r>
        <w:rPr/>
        <w:t>B.</w:t>
        <w:tab/>
        <w:t>The Lump Sum price will identify all manhours and the Variable and Fixed cost of base labor and benefits, and all of the overhead and profits.</w:t>
      </w:r>
    </w:p>
    <w:p>
      <w:pPr>
        <w:pStyle w:val="Normal"/>
        <w:ind w:firstLine="720" w:end="0"/>
        <w:rPr/>
      </w:pPr>
      <w:r>
        <w:rPr/>
      </w:r>
    </w:p>
    <w:p>
      <w:pPr>
        <w:pStyle w:val="Normal"/>
        <w:ind w:hanging="720" w:start="1440" w:end="0"/>
        <w:rPr/>
      </w:pPr>
      <w:r>
        <w:rPr/>
        <w:t>C.</w:t>
        <w:tab/>
        <w:t>EECC will reimburse the Engineering Subcontractor for all manhours expended based on the following breakdown of cost per manhour:</w:t>
      </w:r>
    </w:p>
    <w:p>
      <w:pPr>
        <w:pStyle w:val="Normal"/>
        <w:ind w:firstLine="720" w:end="0"/>
        <w:rPr/>
      </w:pPr>
      <w:r>
        <w:rPr/>
      </w:r>
    </w:p>
    <w:p>
      <w:pPr>
        <w:pStyle w:val="Normal"/>
        <w:numPr>
          <w:ilvl w:val="2"/>
          <w:numId w:val="1"/>
        </w:numPr>
        <w:rPr/>
      </w:pPr>
      <w:r>
        <w:rPr/>
        <w:t>Variable Rate per manhour - For all manhours expended consisting of bare labor and a percentage for burden and benefits.</w:t>
      </w:r>
    </w:p>
    <w:p>
      <w:pPr>
        <w:pStyle w:val="Normal"/>
        <w:ind w:firstLine="720" w:start="720" w:end="0"/>
        <w:rPr/>
      </w:pPr>
      <w:r>
        <w:rPr/>
      </w:r>
    </w:p>
    <w:p>
      <w:pPr>
        <w:pStyle w:val="Normal"/>
        <w:numPr>
          <w:ilvl w:val="2"/>
          <w:numId w:val="1"/>
        </w:numPr>
        <w:rPr/>
      </w:pPr>
      <w:r>
        <w:rPr/>
        <w:t>Fixed Rate per manhour - For all manhours expended up to the targeted Lump Sum price for all costs other than labor, burden, and benefits including all overheads and profit.</w:t>
      </w:r>
    </w:p>
    <w:p>
      <w:pPr>
        <w:pStyle w:val="Normal"/>
        <w:rPr/>
      </w:pPr>
      <w:r>
        <w:rPr/>
      </w:r>
    </w:p>
    <w:p>
      <w:pPr>
        <w:pStyle w:val="Normal"/>
        <w:ind w:hanging="720" w:start="1440" w:end="0"/>
        <w:rPr/>
      </w:pPr>
      <w:r>
        <w:rPr/>
        <w:t>D.</w:t>
        <w:tab/>
        <w:t>In the event the Scope of Work is performed for manhours in excess (overrun) of the Lump Sum price, only the Variable Rate per manhour will be compensated to the Engineering Subcontractor.</w:t>
      </w:r>
    </w:p>
    <w:p>
      <w:pPr>
        <w:pStyle w:val="Normal"/>
        <w:ind w:firstLine="720" w:end="0"/>
        <w:rPr/>
      </w:pPr>
      <w:r>
        <w:rPr/>
      </w:r>
    </w:p>
    <w:p>
      <w:pPr>
        <w:pStyle w:val="Normal"/>
        <w:ind w:hanging="720" w:start="1440" w:end="0"/>
        <w:rPr/>
      </w:pPr>
      <w:r>
        <w:rPr/>
        <w:t>E.</w:t>
        <w:tab/>
        <w:t>In the event the Scope of Work is performed for less manhours than the Lump Sum price, the difference will be shared 75% to the Engineering Subcontractor and 25% to EECC.</w:t>
      </w:r>
    </w:p>
    <w:p>
      <w:pPr>
        <w:pStyle w:val="Normal"/>
        <w:ind w:firstLine="720" w:end="0"/>
        <w:rPr/>
      </w:pPr>
      <w:r>
        <w:rPr/>
      </w:r>
    </w:p>
    <w:p>
      <w:pPr>
        <w:pStyle w:val="Normal"/>
        <w:ind w:hanging="720" w:start="1440" w:end="0"/>
        <w:rPr/>
      </w:pPr>
      <w:r>
        <w:rPr/>
        <w:t>F.</w:t>
        <w:tab/>
        <w:t>In the event of Change Orders, the Lump Sum price and manhour estimate may be adjusted up or down to reflect the Change in Scope.</w:t>
      </w:r>
    </w:p>
    <w:p>
      <w:pPr>
        <w:pStyle w:val="Normal"/>
        <w:ind w:firstLine="720" w:end="0"/>
        <w:rPr/>
      </w:pPr>
      <w:r>
        <w:rPr/>
      </w:r>
    </w:p>
    <w:p>
      <w:pPr>
        <w:pStyle w:val="Normal"/>
        <w:ind w:hanging="720" w:start="1440" w:end="0"/>
        <w:rPr/>
      </w:pPr>
      <w:r>
        <w:rPr/>
        <w:t>G.</w:t>
        <w:tab/>
        <w:t>The Engineering Subcontractor's Scope will include procurement and expediting services including preparation for bid evaluation and presentation to EECC of vendor selections for approval by EECC.  The Pre-NTP Scope will also include providing test pile design and specifications and an onsite test pile validation of existing soils.</w:t>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sz w:val="16"/>
      </w:rPr>
      <w:t xml:space="preserv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2</w:t>
    </w:r>
    <w:r>
      <w:rPr>
        <w:rStyle w:val="PageNumber"/>
        <w:sz w:val="16"/>
      </w:rPr>
      <w:fldChar w:fldCharType="end"/>
    </w:r>
    <w:r>
      <w:rPr>
        <w:rStyle w:val="PageNumber"/>
        <w:sz w:val="16"/>
      </w:rPr>
      <w:t xml:space="preserve">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2001-09-24T13:06:00Z</dcterms:created>
  <dc:creator>lcabrer</dc:creator>
  <dc:description/>
  <dc:language>en-CA</dc:language>
  <cp:lastModifiedBy>lcabrer</cp:lastModifiedBy>
  <cp:lastPrinted>2001-09-24T10:21:00Z</cp:lastPrinted>
  <dcterms:modified xsi:type="dcterms:W3CDTF">2001-09-24T14:39:00Z</dcterms:modified>
  <cp:revision>3</cp:revision>
  <dc:subject/>
  <dc:title>Proposal for</dc:title>
</cp:coreProperties>
</file>