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sz w:val="22"/>
          <w:u w:val="none"/>
        </w:rPr>
        <w:t>I.</w:t>
        <w:tab/>
      </w:r>
      <w:r>
        <w:rPr>
          <w:sz w:val="22"/>
        </w:rPr>
        <w:t>Commercial Strategy</w:t>
      </w:r>
    </w:p>
    <w:p>
      <w:pPr>
        <w:pStyle w:val="Normal"/>
        <w:rPr>
          <w:sz w:val="22"/>
        </w:rPr>
      </w:pPr>
      <w:r>
        <w:rPr>
          <w:sz w:val="22"/>
        </w:rPr>
      </w:r>
    </w:p>
    <w:p>
      <w:pPr>
        <w:pStyle w:val="Normal"/>
        <w:rPr/>
      </w:pPr>
      <w:r>
        <w:rPr>
          <w:b/>
          <w:i/>
          <w:sz w:val="22"/>
          <w:u w:val="single"/>
        </w:rPr>
        <w:t>Electricity</w:t>
      </w:r>
      <w:r>
        <w:rPr>
          <w:sz w:val="22"/>
          <w:u w:val="single"/>
        </w:rPr>
        <w:t xml:space="preserve"> </w:t>
      </w:r>
      <w:r>
        <w:rPr>
          <w:b/>
          <w:i/>
          <w:sz w:val="22"/>
          <w:u w:val="single"/>
        </w:rPr>
        <w:t>Market</w:t>
      </w:r>
      <w:r>
        <w:rPr>
          <w:sz w:val="22"/>
          <w:u w:val="single"/>
        </w:rPr>
        <w:t xml:space="preserve">. </w:t>
      </w:r>
    </w:p>
    <w:p>
      <w:pPr>
        <w:pStyle w:val="Normal"/>
        <w:rPr>
          <w:sz w:val="22"/>
        </w:rPr>
      </w:pPr>
      <w:r>
        <w:rPr>
          <w:sz w:val="22"/>
        </w:rPr>
        <w:t>The Brazilian electricity market has all of the components that defined the opportunities for Enron’s trading and risk management competencies applied in North America and the UK – size (60m MWs), aggressively deregulating markets, terrific information inefficiencies, entrenched utilities, dynamic industrial base etc.,</w:t>
      </w:r>
    </w:p>
    <w:p>
      <w:pPr>
        <w:pStyle w:val="Normal"/>
        <w:rPr>
          <w:sz w:val="22"/>
        </w:rPr>
      </w:pPr>
      <w:r>
        <w:rPr>
          <w:sz w:val="22"/>
        </w:rPr>
      </w:r>
    </w:p>
    <w:p>
      <w:pPr>
        <w:pStyle w:val="Normal"/>
        <w:rPr>
          <w:sz w:val="22"/>
        </w:rPr>
      </w:pPr>
      <w:r>
        <w:rPr>
          <w:sz w:val="22"/>
        </w:rPr>
        <w:t xml:space="preserve">The regulatory, financial (including credit approval process) and legal structure in Brazil present specific risks and there will likely be price caps over the next 3-5 years that restrict the spot price of electricity below ca. U$150/MW.   However, the country is aggressively deregulating (already down to 3MWs) on a national, rather than state-by-state scale which introduces regional arbitrage and distribution opportunities.   </w:t>
      </w:r>
    </w:p>
    <w:p>
      <w:pPr>
        <w:pStyle w:val="Normal"/>
        <w:rPr>
          <w:sz w:val="22"/>
        </w:rPr>
      </w:pPr>
      <w:r>
        <w:rPr>
          <w:sz w:val="22"/>
        </w:rPr>
      </w:r>
    </w:p>
    <w:p>
      <w:pPr>
        <w:pStyle w:val="BodyText"/>
        <w:rPr>
          <w:color w:val="000000"/>
          <w:sz w:val="22"/>
        </w:rPr>
      </w:pPr>
      <w:r>
        <w:rPr>
          <w:color w:val="000000"/>
          <w:sz w:val="22"/>
        </w:rPr>
        <w:t>The target markets for the market-making/EOL platform is the several  thousand sizable consumers in the national industrial sector who are free to transact for energy above those volumes contracted with the local LDC.  This would significantly broaden the present business model focussed primarily on wholesale (40-55 companies) and power marketing (5- 10 companies) counter-parties.</w:t>
      </w:r>
    </w:p>
    <w:p>
      <w:pPr>
        <w:pStyle w:val="Normal"/>
        <w:rPr>
          <w:color w:val="000000"/>
          <w:sz w:val="22"/>
        </w:rPr>
      </w:pPr>
      <w:r>
        <w:rPr>
          <w:color w:val="000000"/>
          <w:sz w:val="22"/>
        </w:rPr>
      </w:r>
    </w:p>
    <w:p>
      <w:pPr>
        <w:pStyle w:val="Normal"/>
        <w:rPr>
          <w:sz w:val="22"/>
        </w:rPr>
      </w:pPr>
      <w:r>
        <w:rPr>
          <w:sz w:val="22"/>
        </w:rPr>
        <w:t>Also, Brazil maintains an enormous commodity production and consumption infrastructure which directly introduces bundled product opportunities across the basket of Global Markets, Industrials and Networks business units.</w:t>
      </w:r>
    </w:p>
    <w:p>
      <w:pPr>
        <w:pStyle w:val="Normal"/>
        <w:rPr>
          <w:sz w:val="22"/>
        </w:rPr>
      </w:pPr>
      <w:r>
        <w:rPr>
          <w:sz w:val="22"/>
        </w:rPr>
      </w:r>
    </w:p>
    <w:p>
      <w:pPr>
        <w:pStyle w:val="Normal"/>
        <w:rPr/>
      </w:pPr>
      <w:r>
        <w:rPr>
          <w:b/>
          <w:i/>
          <w:sz w:val="22"/>
          <w:u w:val="single"/>
        </w:rPr>
        <w:t>Origination</w:t>
      </w:r>
      <w:r>
        <w:rPr>
          <w:sz w:val="22"/>
        </w:rPr>
        <w:t xml:space="preserve">.  </w:t>
      </w:r>
    </w:p>
    <w:p>
      <w:pPr>
        <w:pStyle w:val="Normal"/>
        <w:rPr>
          <w:sz w:val="22"/>
        </w:rPr>
      </w:pPr>
      <w:r>
        <w:rPr>
          <w:sz w:val="22"/>
        </w:rPr>
        <w:t>The Wholesale and Industrial origination/marketing effort needs to be consolidated and managed by an individual, probably a national, but at least with local knowledge of the electricity markets and accessibility to the senior executive level of target customers.</w:t>
      </w:r>
    </w:p>
    <w:p>
      <w:pPr>
        <w:pStyle w:val="Normal"/>
        <w:rPr>
          <w:sz w:val="22"/>
        </w:rPr>
      </w:pPr>
      <w:r>
        <w:rPr>
          <w:sz w:val="22"/>
        </w:rPr>
      </w:r>
    </w:p>
    <w:p>
      <w:pPr>
        <w:pStyle w:val="Normal"/>
        <w:rPr>
          <w:sz w:val="22"/>
        </w:rPr>
      </w:pPr>
      <w:r>
        <w:rPr>
          <w:sz w:val="22"/>
        </w:rPr>
        <w:t>It’s pretty clear that there are really two broad businesses that can contribute to the trading effort (1) Development ( eg., Eletrobolt ) and (2) Industrial and Wholesale Origination deals ( power off-take, physical and financial swaps, etc.,..).    With the Elektro asset no longer the back-drop of the trading initiative, the tariff arbitrage opportunities will need to be driven to a much larger extent off the dynamism and competence of the trading desk i.e., transaction flow and a forward curve.</w:t>
      </w:r>
    </w:p>
    <w:p>
      <w:pPr>
        <w:pStyle w:val="Normal"/>
        <w:rPr>
          <w:sz w:val="22"/>
        </w:rPr>
      </w:pPr>
      <w:r>
        <w:rPr>
          <w:sz w:val="22"/>
        </w:rPr>
      </w:r>
    </w:p>
    <w:p>
      <w:pPr>
        <w:pStyle w:val="Normal"/>
        <w:ind w:firstLine="720" w:end="0"/>
        <w:rPr/>
      </w:pPr>
      <w:r>
        <w:rPr>
          <w:b/>
          <w:i/>
          <w:sz w:val="22"/>
          <w:u w:val="single"/>
        </w:rPr>
        <w:t>EES Product.</w:t>
      </w:r>
      <w:r>
        <w:rPr>
          <w:sz w:val="22"/>
          <w:u w:val="single"/>
        </w:rPr>
        <w:t xml:space="preserve">  </w:t>
      </w:r>
    </w:p>
    <w:p>
      <w:pPr>
        <w:pStyle w:val="Normal"/>
        <w:ind w:start="720" w:end="0"/>
        <w:rPr/>
      </w:pPr>
      <w:r>
        <w:rPr>
          <w:sz w:val="22"/>
        </w:rPr>
        <w:t xml:space="preserve">I assume that the potential for deal flow out of the EES  product line in place in the Direct Sales group will be under pretty severe review in an attempt to align the North America model with those outlined in the LOIs presently in the group’s pipeline.  As that occurs, there should be good opportunity and a more clear mandate required of the trading desk to structure, value </w:t>
      </w:r>
      <w:r>
        <w:rPr>
          <w:b/>
          <w:i/>
          <w:sz w:val="22"/>
        </w:rPr>
        <w:t>and take</w:t>
      </w:r>
      <w:r>
        <w:rPr>
          <w:sz w:val="22"/>
        </w:rPr>
        <w:t xml:space="preserve"> position risk. </w:t>
      </w:r>
    </w:p>
    <w:p>
      <w:pPr>
        <w:pStyle w:val="Normal"/>
        <w:rPr>
          <w:sz w:val="22"/>
        </w:rPr>
      </w:pPr>
      <w:r>
        <w:rPr>
          <w:sz w:val="22"/>
        </w:rPr>
      </w:r>
    </w:p>
    <w:p>
      <w:pPr>
        <w:pStyle w:val="Normal"/>
        <w:ind w:start="720" w:end="0"/>
        <w:rPr/>
      </w:pPr>
      <w:r>
        <w:rPr>
          <w:b/>
          <w:i/>
          <w:sz w:val="22"/>
          <w:u w:val="single"/>
        </w:rPr>
        <w:t>Finance</w:t>
      </w:r>
      <w:r>
        <w:rPr>
          <w:sz w:val="22"/>
        </w:rPr>
        <w:t xml:space="preserve">.  There are challenges and opportunities and significant, applied expertise among CFOs in the financial markets in Brazil – Enron needs to raise its understanding and execution capability to another level to be able to leverage this product line as a strength.   </w:t>
      </w:r>
    </w:p>
    <w:p>
      <w:pPr>
        <w:pStyle w:val="Normal"/>
        <w:rPr>
          <w:sz w:val="22"/>
        </w:rPr>
      </w:pPr>
      <w:r>
        <w:rPr>
          <w:sz w:val="22"/>
        </w:rPr>
      </w:r>
    </w:p>
    <w:p>
      <w:pPr>
        <w:pStyle w:val="Normal"/>
        <w:ind w:start="720" w:end="0"/>
        <w:rPr/>
      </w:pPr>
      <w:r>
        <w:rPr>
          <w:b/>
          <w:i/>
          <w:sz w:val="22"/>
          <w:u w:val="single"/>
        </w:rPr>
        <w:t>Note</w:t>
      </w:r>
      <w:r>
        <w:rPr>
          <w:sz w:val="22"/>
        </w:rPr>
        <w:t>: The Trade and Structured Finance group line inherited from the MG acquisition has the experience and product line to directly augment Enron’s capabilities in the region.  Determining how to integrate their participation in deal flow, including authority and report, etc.,.. should receive high priority in relation to evaluating any commercial initiatives in the region.</w:t>
      </w:r>
    </w:p>
    <w:p>
      <w:pPr>
        <w:pStyle w:val="Normal"/>
        <w:rPr>
          <w:sz w:val="22"/>
        </w:rPr>
      </w:pPr>
      <w:r>
        <w:rPr>
          <w:sz w:val="22"/>
        </w:rPr>
      </w:r>
    </w:p>
    <w:p>
      <w:pPr>
        <w:pStyle w:val="Normal"/>
        <w:rPr/>
      </w:pPr>
      <w:r>
        <w:rPr>
          <w:b/>
          <w:i/>
          <w:sz w:val="22"/>
          <w:u w:val="single"/>
        </w:rPr>
        <w:t>Trading</w:t>
      </w:r>
      <w:r>
        <w:rPr>
          <w:sz w:val="22"/>
        </w:rPr>
        <w:t xml:space="preserve">.  </w:t>
      </w:r>
    </w:p>
    <w:p>
      <w:pPr>
        <w:pStyle w:val="Normal"/>
        <w:rPr>
          <w:sz w:val="22"/>
        </w:rPr>
      </w:pPr>
      <w:r>
        <w:rPr>
          <w:sz w:val="22"/>
        </w:rPr>
        <w:t>We need 3-4 traders in place allocated to the areas outlined below, but including the designated autonomy, independent trading limits, etc.,..   two of these traders need to be recruited in the Brazilian market.</w:t>
      </w:r>
    </w:p>
    <w:p>
      <w:pPr>
        <w:pStyle w:val="Normal"/>
        <w:rPr>
          <w:sz w:val="22"/>
        </w:rPr>
      </w:pPr>
      <w:r>
        <w:rPr>
          <w:sz w:val="22"/>
        </w:rPr>
      </w:r>
    </w:p>
    <w:p>
      <w:pPr>
        <w:pStyle w:val="Normal"/>
        <w:numPr>
          <w:ilvl w:val="0"/>
          <w:numId w:val="2"/>
        </w:numPr>
        <w:rPr>
          <w:sz w:val="22"/>
        </w:rPr>
      </w:pPr>
      <w:r>
        <w:rPr>
          <w:sz w:val="22"/>
        </w:rPr>
        <w:t>Spot Price ( Front 1 – 6 months )</w:t>
      </w:r>
    </w:p>
    <w:p>
      <w:pPr>
        <w:pStyle w:val="Normal"/>
        <w:numPr>
          <w:ilvl w:val="0"/>
          <w:numId w:val="2"/>
        </w:numPr>
        <w:rPr>
          <w:sz w:val="22"/>
        </w:rPr>
      </w:pPr>
      <w:r>
        <w:rPr>
          <w:sz w:val="22"/>
        </w:rPr>
        <w:t>Peak, Off-Peak arbitrage.  ( Direct link to Origination effort to structure and source operational or greenfield transaction. )</w:t>
      </w:r>
    </w:p>
    <w:p>
      <w:pPr>
        <w:pStyle w:val="Normal"/>
        <w:numPr>
          <w:ilvl w:val="0"/>
          <w:numId w:val="2"/>
        </w:numPr>
        <w:rPr>
          <w:sz w:val="22"/>
        </w:rPr>
      </w:pPr>
      <w:r>
        <w:rPr>
          <w:sz w:val="22"/>
        </w:rPr>
        <w:t>Financial Products – Options  ( Legal restrictions, but we haven’t nearly tested or proposed standards. )</w:t>
      </w:r>
    </w:p>
    <w:p>
      <w:pPr>
        <w:pStyle w:val="Normal"/>
        <w:numPr>
          <w:ilvl w:val="0"/>
          <w:numId w:val="2"/>
        </w:numPr>
        <w:rPr>
          <w:sz w:val="22"/>
        </w:rPr>
      </w:pPr>
      <w:r>
        <w:rPr>
          <w:sz w:val="22"/>
        </w:rPr>
        <w:t>Structured, Longer-term  ( already in place. )</w:t>
      </w:r>
    </w:p>
    <w:p>
      <w:pPr>
        <w:pStyle w:val="Normal"/>
        <w:rPr>
          <w:sz w:val="22"/>
        </w:rPr>
      </w:pPr>
      <w:r>
        <w:rPr>
          <w:sz w:val="22"/>
        </w:rPr>
      </w:r>
    </w:p>
    <w:p>
      <w:pPr>
        <w:pStyle w:val="Normal"/>
        <w:rPr/>
      </w:pPr>
      <w:r>
        <w:rPr>
          <w:b/>
          <w:i/>
          <w:sz w:val="22"/>
          <w:u w:val="single"/>
        </w:rPr>
        <w:t>Note</w:t>
      </w:r>
      <w:r>
        <w:rPr>
          <w:sz w:val="22"/>
        </w:rPr>
        <w:t>:  From a procedural view, the trading desk needs to have the obligation not just to quote price but to calculate and unbundle the entire wheeling costs to the Origination group.</w:t>
      </w:r>
    </w:p>
    <w:p>
      <w:pPr>
        <w:pStyle w:val="Normal"/>
        <w:rPr>
          <w:sz w:val="22"/>
        </w:rPr>
      </w:pPr>
      <w:r>
        <w:rPr>
          <w:sz w:val="22"/>
        </w:rPr>
      </w:r>
    </w:p>
    <w:p>
      <w:pPr>
        <w:pStyle w:val="Normal"/>
        <w:rPr>
          <w:sz w:val="22"/>
        </w:rPr>
      </w:pPr>
      <w:r>
        <w:rPr>
          <w:sz w:val="22"/>
        </w:rPr>
      </w:r>
    </w:p>
    <w:p>
      <w:pPr>
        <w:pStyle w:val="Normal"/>
        <w:rPr/>
      </w:pPr>
      <w:r>
        <w:rPr>
          <w:b/>
          <w:i/>
          <w:sz w:val="22"/>
          <w:u w:val="single"/>
        </w:rPr>
        <w:t>Regulatory Group.</w:t>
      </w:r>
      <w:r>
        <w:rPr>
          <w:sz w:val="22"/>
          <w:u w:val="single"/>
        </w:rPr>
        <w:t xml:space="preserve">  </w:t>
      </w:r>
    </w:p>
    <w:p>
      <w:pPr>
        <w:pStyle w:val="Normal"/>
        <w:rPr>
          <w:sz w:val="22"/>
        </w:rPr>
      </w:pPr>
      <w:r>
        <w:rPr>
          <w:sz w:val="22"/>
        </w:rPr>
        <w:t xml:space="preserve">The Regulatory group in Brazil has solid, general competence.   The successes of the group has, however, been concentrated in negotiating gas and electricity tariff concessions for the asset businesses.  </w:t>
      </w:r>
    </w:p>
    <w:p>
      <w:pPr>
        <w:pStyle w:val="Normal"/>
        <w:rPr>
          <w:sz w:val="22"/>
        </w:rPr>
      </w:pPr>
      <w:r>
        <w:rPr>
          <w:sz w:val="22"/>
        </w:rPr>
      </w:r>
    </w:p>
    <w:p>
      <w:pPr>
        <w:pStyle w:val="Normal"/>
        <w:rPr>
          <w:sz w:val="22"/>
        </w:rPr>
      </w:pPr>
      <w:r>
        <w:rPr>
          <w:sz w:val="22"/>
        </w:rPr>
        <w:t>The success of the commercial effort going forward will need to mandate a more specific, integrated and proactive support function to the commercial strategy and product lines.</w:t>
      </w:r>
    </w:p>
    <w:p>
      <w:pPr>
        <w:pStyle w:val="Normal"/>
        <w:rPr>
          <w:sz w:val="22"/>
        </w:rPr>
      </w:pPr>
      <w:r>
        <w:rPr>
          <w:sz w:val="22"/>
        </w:rPr>
      </w:r>
    </w:p>
    <w:p>
      <w:pPr>
        <w:pStyle w:val="Normal"/>
        <w:rPr/>
      </w:pPr>
      <w:r>
        <w:rPr>
          <w:b/>
          <w:i/>
          <w:sz w:val="22"/>
          <w:u w:val="single"/>
        </w:rPr>
        <w:t>E-Business/Networks</w:t>
      </w:r>
      <w:r>
        <w:rPr>
          <w:sz w:val="22"/>
          <w:u w:val="single"/>
        </w:rPr>
        <w:t xml:space="preserve">.  </w:t>
      </w:r>
    </w:p>
    <w:p>
      <w:pPr>
        <w:pStyle w:val="Normal"/>
        <w:rPr>
          <w:sz w:val="22"/>
        </w:rPr>
      </w:pPr>
      <w:r>
        <w:rPr>
          <w:sz w:val="22"/>
        </w:rPr>
        <w:t xml:space="preserve">The internet industry is advanced in the region, but restricted in some terms by bandwidth constraints and the pending legal support for enforcing electronic transactions.    </w:t>
      </w:r>
    </w:p>
    <w:p>
      <w:pPr>
        <w:pStyle w:val="Normal"/>
        <w:rPr>
          <w:sz w:val="22"/>
        </w:rPr>
      </w:pPr>
      <w:r>
        <w:rPr>
          <w:sz w:val="22"/>
        </w:rPr>
      </w:r>
    </w:p>
    <w:p>
      <w:pPr>
        <w:pStyle w:val="Normal"/>
        <w:rPr>
          <w:sz w:val="22"/>
        </w:rPr>
      </w:pPr>
      <w:r>
        <w:rPr>
          <w:sz w:val="22"/>
        </w:rPr>
        <w:t xml:space="preserve">The commercial strategy for electricity in Brazil and the region needs to articulate and execute from a basket of several alternatives.  These include an EOL product launch,  an updated and upgraded market coverage and customer capture Internet Site and a Retail Market product strategy.   Power  marketing competitors ( AES and Duke Energy )  have launched internet and internet transaction sites, respectively, both are already in second generation versions and are ahead of Enron’s effort.  </w:t>
      </w:r>
    </w:p>
    <w:p>
      <w:pPr>
        <w:pStyle w:val="Normal"/>
        <w:rPr>
          <w:sz w:val="22"/>
        </w:rPr>
      </w:pPr>
      <w:r>
        <w:rPr>
          <w:sz w:val="22"/>
        </w:rPr>
      </w:r>
    </w:p>
    <w:p>
      <w:pPr>
        <w:pStyle w:val="Normal"/>
        <w:rPr>
          <w:sz w:val="22"/>
        </w:rPr>
      </w:pPr>
      <w:r>
        <w:rPr>
          <w:sz w:val="22"/>
        </w:rPr>
        <w:t>It is relevant to note that there will be opportunities in the crude oil and oil derivatives markets for Enron as they deregulate at the end of 2001.   Evaluation of and the formulation of an Origination or e-Business commercial platform implemented to support, for example electricity,  might also be designed to source information for total fuels consumption, including  other commodity  products, as well.</w:t>
      </w:r>
    </w:p>
    <w:p>
      <w:pPr>
        <w:pStyle w:val="Normal"/>
        <w:rPr>
          <w:sz w:val="22"/>
        </w:rPr>
      </w:pPr>
      <w:r>
        <w:rPr>
          <w:sz w:val="22"/>
        </w:rPr>
      </w:r>
    </w:p>
    <w:p>
      <w:pPr>
        <w:pStyle w:val="Normal"/>
        <w:rPr/>
      </w:pPr>
      <w:r>
        <w:rPr>
          <w:b/>
          <w:i/>
          <w:sz w:val="22"/>
          <w:u w:val="single"/>
        </w:rPr>
        <w:t>Argentina</w:t>
      </w:r>
      <w:r>
        <w:rPr>
          <w:sz w:val="22"/>
          <w:u w:val="single"/>
        </w:rPr>
        <w:t xml:space="preserve">.  </w:t>
      </w:r>
    </w:p>
    <w:p>
      <w:pPr>
        <w:pStyle w:val="Normal"/>
        <w:rPr>
          <w:sz w:val="22"/>
        </w:rPr>
      </w:pPr>
      <w:r>
        <w:rPr>
          <w:sz w:val="22"/>
        </w:rPr>
        <w:t>I have not been close enough to the business to comment too thoroughly.  However,  I have been surprised that there has been little initiative or strategy priority given to expanding the market through the structuring and marketing of financial derivative products.  The need for option-type products to manage the physical position risk was demonstrated in the short electric position in Q1 ’00 –  how has the marketing strategy evolved to mitigate that risk?</w:t>
      </w:r>
    </w:p>
    <w:p>
      <w:pPr>
        <w:pStyle w:val="Normal"/>
        <w:rPr>
          <w:sz w:val="22"/>
        </w:rPr>
      </w:pPr>
      <w:r>
        <w:rPr>
          <w:sz w:val="22"/>
        </w:rPr>
      </w:r>
    </w:p>
    <w:p>
      <w:pPr>
        <w:pStyle w:val="Normal"/>
        <w:rPr>
          <w:sz w:val="22"/>
        </w:rPr>
      </w:pPr>
      <w:r>
        <w:rPr>
          <w:sz w:val="22"/>
        </w:rPr>
        <w:t xml:space="preserve">I suspect a focus on the longer-term  value will be realized in the optimal or  marginal supply opportunities out of Argentina and into the Brazilian market.    AES and Tradener have both executed original deals in securing term options on transmission capacity and physical supply out of Argentina into Brazil. </w:t>
      </w:r>
    </w:p>
    <w:p>
      <w:pPr>
        <w:pStyle w:val="Normal"/>
        <w:rPr>
          <w:sz w:val="22"/>
        </w:rPr>
      </w:pPr>
      <w:r>
        <w:rPr>
          <w:sz w:val="22"/>
        </w:rPr>
      </w:r>
    </w:p>
    <w:p>
      <w:pPr>
        <w:pStyle w:val="Normal"/>
        <w:rPr>
          <w:sz w:val="22"/>
        </w:rPr>
      </w:pPr>
      <w:r>
        <w:rPr>
          <w:sz w:val="22"/>
        </w:rPr>
        <w:t>Nevertheless, we should complete due diligence on the profitability in either of the 400m retail customers in an EnronDirect model, or,  in commodity and/or asset plays to the several hundred industrial customers in the country.</w:t>
      </w:r>
    </w:p>
    <w:p>
      <w:pPr>
        <w:pStyle w:val="Normal"/>
        <w:rPr>
          <w:sz w:val="22"/>
        </w:rPr>
      </w:pPr>
      <w:r>
        <w:rPr>
          <w:sz w:val="22"/>
        </w:rPr>
      </w:r>
    </w:p>
    <w:p>
      <w:pPr>
        <w:pStyle w:val="Normal"/>
        <w:rPr/>
      </w:pPr>
      <w:r>
        <w:rPr>
          <w:b/>
          <w:i/>
          <w:sz w:val="22"/>
          <w:u w:val="single"/>
        </w:rPr>
        <w:t>Recruitment</w:t>
      </w:r>
      <w:r>
        <w:rPr>
          <w:sz w:val="22"/>
        </w:rPr>
        <w:t xml:space="preserve">.  </w:t>
      </w:r>
    </w:p>
    <w:p>
      <w:pPr>
        <w:pStyle w:val="Normal"/>
        <w:rPr>
          <w:sz w:val="22"/>
        </w:rPr>
      </w:pPr>
      <w:r>
        <w:rPr>
          <w:sz w:val="22"/>
        </w:rPr>
        <w:t xml:space="preserve">Enron has done a good job in developing the roots of the Associates and Analysts program with several talented junior employees spread between Direct Sales and Wholesale.   </w:t>
      </w:r>
    </w:p>
    <w:p>
      <w:pPr>
        <w:pStyle w:val="Normal"/>
        <w:rPr>
          <w:sz w:val="22"/>
        </w:rPr>
      </w:pPr>
      <w:r>
        <w:rPr>
          <w:sz w:val="22"/>
        </w:rPr>
      </w:r>
    </w:p>
    <w:p>
      <w:pPr>
        <w:pStyle w:val="Normal"/>
        <w:rPr>
          <w:sz w:val="22"/>
        </w:rPr>
      </w:pPr>
      <w:r>
        <w:rPr>
          <w:sz w:val="22"/>
        </w:rPr>
        <w:t xml:space="preserve">However, we have not nearly exploited (or prioritized) Brazil’s enormous depth of trading talent.  The region has both young and derivative sophisticated traders with extensive, applied experience in both commodity and financial trading, including managing significant volatility in illiquid markets.  </w:t>
      </w:r>
    </w:p>
    <w:p>
      <w:pPr>
        <w:pStyle w:val="Normal"/>
        <w:rPr>
          <w:sz w:val="22"/>
        </w:rPr>
      </w:pPr>
      <w:r>
        <w:rPr>
          <w:sz w:val="22"/>
        </w:rPr>
      </w:r>
    </w:p>
    <w:p>
      <w:pPr>
        <w:pStyle w:val="Normal"/>
        <w:rPr/>
      </w:pPr>
      <w:r>
        <w:rPr>
          <w:b/>
          <w:i/>
          <w:sz w:val="22"/>
          <w:u w:val="single"/>
        </w:rPr>
        <w:t>Note</w:t>
      </w:r>
      <w:r>
        <w:rPr>
          <w:sz w:val="22"/>
        </w:rPr>
        <w:t>: The local Hedge Fund/Bank Trading community, however, is unique and efficient with a tradition of promoting talent early and fast to partnership and with Brazil frequently claiming some of the global financial industry’s highest paid traders.</w:t>
      </w:r>
    </w:p>
    <w:p>
      <w:pPr>
        <w:pStyle w:val="Normal"/>
        <w:rPr>
          <w:sz w:val="22"/>
        </w:rPr>
      </w:pPr>
      <w:r>
        <w:rPr>
          <w:sz w:val="22"/>
        </w:rPr>
      </w:r>
    </w:p>
    <w:p>
      <w:pPr>
        <w:pStyle w:val="Normal"/>
        <w:rPr/>
      </w:pPr>
      <w:r>
        <w:rPr>
          <w:b/>
          <w:i/>
          <w:sz w:val="22"/>
          <w:u w:val="single"/>
        </w:rPr>
        <w:t>Organizational Structure.</w:t>
      </w:r>
      <w:r>
        <w:rPr>
          <w:sz w:val="22"/>
          <w:u w:val="single"/>
        </w:rPr>
        <w:t xml:space="preserve">  </w:t>
      </w:r>
    </w:p>
    <w:p>
      <w:pPr>
        <w:pStyle w:val="Normal"/>
        <w:rPr>
          <w:sz w:val="22"/>
        </w:rPr>
      </w:pPr>
      <w:r>
        <w:rPr>
          <w:sz w:val="22"/>
        </w:rPr>
        <w:t xml:space="preserve">We badly need a specifically more flat organizational structure which delegates autonomy and control to greater number of individuals, including setting and holding accountable quantifiable/measurable deliverables.  (Please sees attached Power Point slides.) </w:t>
      </w:r>
    </w:p>
    <w:p>
      <w:pPr>
        <w:pStyle w:val="Normal"/>
        <w:rPr>
          <w:sz w:val="22"/>
        </w:rPr>
      </w:pPr>
      <w:r>
        <w:rPr>
          <w:sz w:val="22"/>
        </w:rPr>
      </w:r>
    </w:p>
    <w:p>
      <w:pPr>
        <w:pStyle w:val="Normal"/>
        <w:rPr/>
      </w:pPr>
      <w:r>
        <w:rPr>
          <w:b/>
          <w:i/>
          <w:sz w:val="22"/>
          <w:u w:val="single"/>
        </w:rPr>
        <w:t>Individuals</w:t>
      </w:r>
      <w:r>
        <w:rPr>
          <w:sz w:val="22"/>
        </w:rPr>
        <w:t xml:space="preserve">.  </w:t>
      </w:r>
    </w:p>
    <w:p>
      <w:pPr>
        <w:pStyle w:val="Normal"/>
        <w:rPr>
          <w:sz w:val="22"/>
        </w:rPr>
      </w:pPr>
      <w:r>
        <w:rPr>
          <w:sz w:val="22"/>
        </w:rPr>
        <w:t xml:space="preserve">I chose not to comment formally on the strengths and weaknesses of individuals (listed alphabetically) in the organization, but am prepared to discuss in person the list of individuals below.   </w:t>
      </w:r>
    </w:p>
    <w:p>
      <w:pPr>
        <w:pStyle w:val="Normal"/>
        <w:rPr>
          <w:sz w:val="22"/>
        </w:rPr>
      </w:pPr>
      <w:r>
        <w:rPr>
          <w:sz w:val="22"/>
        </w:rPr>
      </w:r>
    </w:p>
    <w:p>
      <w:pPr>
        <w:pStyle w:val="Normal"/>
        <w:rPr>
          <w:sz w:val="22"/>
        </w:rPr>
      </w:pPr>
      <w:r>
        <w:rPr>
          <w:sz w:val="22"/>
        </w:rPr>
        <w:t>It includes individuals that I think are either clearly critical and integral contributors needed to build the commercial effort.  It also includes individuals that are a liability either because of consistently destructive or unproductive behavior and/or an inability to execute in their positions of responsibility.</w:t>
      </w:r>
    </w:p>
    <w:p>
      <w:pPr>
        <w:pStyle w:val="Normal"/>
        <w:rPr>
          <w:sz w:val="22"/>
        </w:rPr>
      </w:pPr>
      <w:r>
        <w:rPr>
          <w:sz w:val="22"/>
        </w:rPr>
      </w:r>
    </w:p>
    <w:p>
      <w:pPr>
        <w:pStyle w:val="Normal"/>
        <w:rPr>
          <w:sz w:val="22"/>
        </w:rPr>
      </w:pPr>
      <w:r>
        <w:rPr>
          <w:sz w:val="22"/>
        </w:rPr>
        <w:t>From my observation, the PRC review process and by implication specific management discretion has failed to effect the objective and comprehensive feedback critical to managing and promoting  ethical, team-oriented and honest behavior.    This has, in part, directly contributed to the poor results in the commercial area.</w:t>
      </w:r>
    </w:p>
    <w:p>
      <w:pPr>
        <w:pStyle w:val="Normal"/>
        <w:rPr>
          <w:sz w:val="22"/>
        </w:rPr>
      </w:pPr>
      <w:r>
        <w:rPr>
          <w:sz w:val="22"/>
        </w:rPr>
      </w:r>
    </w:p>
    <w:p>
      <w:pPr>
        <w:pStyle w:val="Normal"/>
        <w:rPr>
          <w:color w:val="FF0000"/>
          <w:sz w:val="22"/>
        </w:rPr>
      </w:pPr>
      <w:r>
        <w:rPr>
          <w:color w:val="FF0000"/>
          <w:sz w:val="22"/>
        </w:rPr>
        <w:t>Albuquerque, Joao Carlos</w:t>
      </w:r>
    </w:p>
    <w:p>
      <w:pPr>
        <w:pStyle w:val="Normal"/>
        <w:rPr>
          <w:color w:val="000000"/>
          <w:sz w:val="22"/>
        </w:rPr>
      </w:pPr>
      <w:r>
        <w:rPr>
          <w:color w:val="FF0000"/>
          <w:sz w:val="22"/>
        </w:rPr>
        <w:t>Arap, Sami</w:t>
      </w:r>
    </w:p>
    <w:p>
      <w:pPr>
        <w:pStyle w:val="Normal"/>
        <w:rPr>
          <w:color w:val="000000"/>
          <w:sz w:val="22"/>
        </w:rPr>
      </w:pPr>
      <w:r>
        <w:rPr>
          <w:color w:val="000000"/>
          <w:sz w:val="22"/>
        </w:rPr>
        <w:t>Baccaro, Luiz</w:t>
      </w:r>
    </w:p>
    <w:p>
      <w:pPr>
        <w:pStyle w:val="Normal"/>
        <w:rPr>
          <w:color w:val="000000"/>
          <w:sz w:val="22"/>
        </w:rPr>
      </w:pPr>
      <w:r>
        <w:rPr>
          <w:color w:val="000000"/>
          <w:sz w:val="22"/>
        </w:rPr>
        <w:t>Berti, Luiz</w:t>
      </w:r>
    </w:p>
    <w:p>
      <w:pPr>
        <w:pStyle w:val="Normal"/>
        <w:rPr>
          <w:color w:val="000000"/>
          <w:sz w:val="22"/>
        </w:rPr>
      </w:pPr>
      <w:r>
        <w:rPr>
          <w:color w:val="000000"/>
          <w:sz w:val="22"/>
        </w:rPr>
        <w:t>Black, Don</w:t>
      </w:r>
    </w:p>
    <w:p>
      <w:pPr>
        <w:pStyle w:val="Normal"/>
        <w:rPr>
          <w:color w:val="000000"/>
          <w:sz w:val="22"/>
        </w:rPr>
      </w:pPr>
      <w:r>
        <w:rPr>
          <w:color w:val="000000"/>
          <w:sz w:val="22"/>
        </w:rPr>
        <w:t>Brun, Claudia</w:t>
      </w:r>
    </w:p>
    <w:p>
      <w:pPr>
        <w:pStyle w:val="Normal"/>
        <w:rPr>
          <w:color w:val="FF0000"/>
          <w:sz w:val="22"/>
        </w:rPr>
      </w:pPr>
      <w:r>
        <w:rPr>
          <w:color w:val="FF0000"/>
          <w:sz w:val="22"/>
        </w:rPr>
        <w:t>Cerisoli, Fernando</w:t>
      </w:r>
    </w:p>
    <w:p>
      <w:pPr>
        <w:pStyle w:val="Normal"/>
        <w:rPr>
          <w:color w:val="000000"/>
          <w:sz w:val="22"/>
        </w:rPr>
      </w:pPr>
      <w:r>
        <w:rPr>
          <w:color w:val="000000"/>
          <w:sz w:val="22"/>
        </w:rPr>
        <w:t>Collonges, Remi</w:t>
      </w:r>
    </w:p>
    <w:p>
      <w:pPr>
        <w:pStyle w:val="Normal"/>
        <w:rPr>
          <w:color w:val="000000"/>
          <w:sz w:val="22"/>
        </w:rPr>
      </w:pPr>
      <w:r>
        <w:rPr>
          <w:color w:val="000000"/>
          <w:sz w:val="22"/>
        </w:rPr>
        <w:t>Gonzalez, Orlando</w:t>
      </w:r>
    </w:p>
    <w:p>
      <w:pPr>
        <w:pStyle w:val="Normal"/>
        <w:rPr>
          <w:color w:val="000000"/>
          <w:sz w:val="22"/>
        </w:rPr>
      </w:pPr>
      <w:r>
        <w:rPr>
          <w:color w:val="000000"/>
          <w:sz w:val="22"/>
        </w:rPr>
        <w:t>Granado, Maria Ines</w:t>
      </w:r>
    </w:p>
    <w:p>
      <w:pPr>
        <w:pStyle w:val="Normal"/>
        <w:rPr>
          <w:color w:val="000000"/>
          <w:sz w:val="22"/>
        </w:rPr>
      </w:pPr>
      <w:r>
        <w:rPr>
          <w:color w:val="000000"/>
          <w:sz w:val="22"/>
        </w:rPr>
        <w:t>Guerreiro, Michael</w:t>
      </w:r>
    </w:p>
    <w:p>
      <w:pPr>
        <w:pStyle w:val="Normal"/>
        <w:rPr>
          <w:color w:val="000000"/>
          <w:sz w:val="22"/>
        </w:rPr>
      </w:pPr>
      <w:r>
        <w:rPr>
          <w:color w:val="000000"/>
          <w:sz w:val="22"/>
        </w:rPr>
        <w:t>Guimaraes, Joao</w:t>
      </w:r>
    </w:p>
    <w:p>
      <w:pPr>
        <w:pStyle w:val="Normal"/>
        <w:rPr>
          <w:color w:val="FF0000"/>
          <w:sz w:val="22"/>
        </w:rPr>
      </w:pPr>
      <w:r>
        <w:rPr>
          <w:color w:val="FF0000"/>
          <w:sz w:val="22"/>
        </w:rPr>
        <w:t>Hukai, Roberto</w:t>
      </w:r>
    </w:p>
    <w:p>
      <w:pPr>
        <w:pStyle w:val="Normal"/>
        <w:rPr>
          <w:color w:val="FF0000"/>
          <w:sz w:val="22"/>
        </w:rPr>
      </w:pPr>
      <w:r>
        <w:rPr>
          <w:color w:val="FF0000"/>
          <w:sz w:val="22"/>
        </w:rPr>
        <w:t>Kishkill, Joe</w:t>
      </w:r>
    </w:p>
    <w:p>
      <w:pPr>
        <w:pStyle w:val="Normal"/>
        <w:rPr>
          <w:color w:val="FF0000"/>
          <w:sz w:val="22"/>
        </w:rPr>
      </w:pPr>
      <w:r>
        <w:rPr>
          <w:color w:val="FF0000"/>
          <w:sz w:val="22"/>
        </w:rPr>
        <w:t>Linardi, Jose</w:t>
      </w:r>
    </w:p>
    <w:p>
      <w:pPr>
        <w:pStyle w:val="Normal"/>
        <w:rPr>
          <w:color w:val="000000"/>
          <w:sz w:val="22"/>
        </w:rPr>
      </w:pPr>
      <w:r>
        <w:rPr>
          <w:color w:val="000000"/>
          <w:sz w:val="22"/>
        </w:rPr>
        <w:t>Maurer, Luiz</w:t>
      </w:r>
    </w:p>
    <w:p>
      <w:pPr>
        <w:pStyle w:val="Normal"/>
        <w:rPr>
          <w:color w:val="000000"/>
          <w:sz w:val="22"/>
        </w:rPr>
      </w:pPr>
      <w:r>
        <w:rPr>
          <w:color w:val="000000"/>
          <w:sz w:val="22"/>
        </w:rPr>
        <w:t>Mercio, Cecilia</w:t>
      </w:r>
    </w:p>
    <w:p>
      <w:pPr>
        <w:pStyle w:val="Normal"/>
        <w:rPr>
          <w:color w:val="000000"/>
          <w:sz w:val="22"/>
        </w:rPr>
      </w:pPr>
      <w:r>
        <w:rPr>
          <w:color w:val="000000"/>
          <w:sz w:val="22"/>
        </w:rPr>
        <w:t>Metzger, Idel</w:t>
      </w:r>
    </w:p>
    <w:p>
      <w:pPr>
        <w:pStyle w:val="Normal"/>
        <w:rPr>
          <w:color w:val="FF0000"/>
          <w:sz w:val="22"/>
        </w:rPr>
      </w:pPr>
      <w:r>
        <w:rPr>
          <w:color w:val="FF0000"/>
          <w:sz w:val="22"/>
        </w:rPr>
        <w:t>Mucci. Ricardo</w:t>
      </w:r>
    </w:p>
    <w:p>
      <w:pPr>
        <w:pStyle w:val="Normal"/>
        <w:rPr>
          <w:color w:val="FF0000"/>
          <w:sz w:val="22"/>
        </w:rPr>
      </w:pPr>
      <w:r>
        <w:rPr>
          <w:color w:val="FF0000"/>
          <w:sz w:val="22"/>
        </w:rPr>
        <w:t>Otavio, Luiz</w:t>
      </w:r>
    </w:p>
    <w:p>
      <w:pPr>
        <w:pStyle w:val="Normal"/>
        <w:rPr>
          <w:color w:val="FF0000"/>
          <w:sz w:val="22"/>
        </w:rPr>
      </w:pPr>
      <w:r>
        <w:rPr>
          <w:color w:val="FF0000"/>
          <w:sz w:val="22"/>
        </w:rPr>
        <w:t>Paciello, Joca</w:t>
      </w:r>
    </w:p>
    <w:p>
      <w:pPr>
        <w:pStyle w:val="Normal"/>
        <w:rPr>
          <w:color w:val="000000"/>
          <w:sz w:val="22"/>
        </w:rPr>
      </w:pPr>
      <w:r>
        <w:rPr>
          <w:color w:val="000000"/>
          <w:sz w:val="22"/>
        </w:rPr>
        <w:t>Parodi, Marcelo</w:t>
      </w:r>
    </w:p>
    <w:p>
      <w:pPr>
        <w:pStyle w:val="Normal"/>
        <w:rPr>
          <w:color w:val="FF0000"/>
          <w:sz w:val="22"/>
        </w:rPr>
      </w:pPr>
      <w:r>
        <w:rPr>
          <w:color w:val="FF0000"/>
          <w:sz w:val="22"/>
        </w:rPr>
        <w:t>Poole. Julian</w:t>
      </w:r>
    </w:p>
    <w:p>
      <w:pPr>
        <w:pStyle w:val="Normal"/>
        <w:rPr>
          <w:color w:val="000000"/>
          <w:sz w:val="22"/>
        </w:rPr>
      </w:pPr>
      <w:r>
        <w:rPr>
          <w:color w:val="000000"/>
          <w:sz w:val="22"/>
        </w:rPr>
        <w:t>Sassatani, Ricardo</w:t>
      </w:r>
    </w:p>
    <w:p>
      <w:pPr>
        <w:pStyle w:val="Normal"/>
        <w:rPr>
          <w:color w:val="000000"/>
          <w:sz w:val="22"/>
        </w:rPr>
      </w:pPr>
      <w:r>
        <w:rPr>
          <w:color w:val="FF0000"/>
          <w:sz w:val="22"/>
        </w:rPr>
        <w:t>Shoobridge, John</w:t>
      </w:r>
    </w:p>
    <w:p>
      <w:pPr>
        <w:pStyle w:val="Normal"/>
        <w:rPr>
          <w:color w:val="FF0000"/>
          <w:sz w:val="22"/>
        </w:rPr>
      </w:pPr>
      <w:r>
        <w:rPr>
          <w:color w:val="FF0000"/>
          <w:sz w:val="22"/>
        </w:rPr>
        <w:t>Siqueira, Marco Antonio</w:t>
      </w:r>
    </w:p>
    <w:p>
      <w:pPr>
        <w:pStyle w:val="Normal"/>
        <w:rPr>
          <w:color w:val="000000"/>
          <w:sz w:val="22"/>
        </w:rPr>
      </w:pPr>
      <w:r>
        <w:rPr>
          <w:color w:val="000000"/>
          <w:sz w:val="22"/>
        </w:rPr>
        <w:t xml:space="preserve"> </w:t>
      </w:r>
    </w:p>
    <w:p>
      <w:pPr>
        <w:pStyle w:val="Normal"/>
        <w:rPr>
          <w:color w:val="000000"/>
          <w:sz w:val="22"/>
        </w:rPr>
      </w:pPr>
      <w:r>
        <w:rPr>
          <w:color w:val="000000"/>
          <w:sz w:val="22"/>
        </w:rPr>
      </w:r>
    </w:p>
    <w:p>
      <w:pPr>
        <w:pStyle w:val="Normal"/>
        <w:rPr>
          <w:color w:val="000000"/>
          <w:sz w:val="22"/>
        </w:rPr>
      </w:pPr>
      <w:r>
        <w:rPr>
          <w:color w:val="000000"/>
          <w:sz w:val="22"/>
        </w:rPr>
      </w:r>
    </w:p>
    <w:p>
      <w:pPr>
        <w:pStyle w:val="Normal"/>
        <w:rPr>
          <w:color w:val="FF0000"/>
          <w:sz w:val="22"/>
        </w:rPr>
      </w:pPr>
      <w:r>
        <w:rPr>
          <w:color w:val="FF0000"/>
          <w:sz w:val="22"/>
        </w:rPr>
        <w:t>Junqueira, Gustavo</w:t>
      </w:r>
    </w:p>
    <w:p>
      <w:pPr>
        <w:pStyle w:val="Normal"/>
        <w:rPr>
          <w:color w:val="000000"/>
          <w:sz w:val="22"/>
        </w:rPr>
      </w:pPr>
      <w:r>
        <w:rPr>
          <w:color w:val="000000"/>
          <w:sz w:val="22"/>
        </w:rPr>
        <w:t>Canguçu, Andre</w:t>
      </w:r>
    </w:p>
    <w:p>
      <w:pPr>
        <w:pStyle w:val="Normal"/>
        <w:rPr>
          <w:color w:val="000000"/>
          <w:sz w:val="22"/>
        </w:rPr>
      </w:pPr>
      <w:r>
        <w:rPr>
          <w:color w:val="000000"/>
          <w:sz w:val="22"/>
        </w:rPr>
      </w:r>
      <w:r>
        <w:br w:type="page"/>
      </w:r>
    </w:p>
    <w:p>
      <w:pPr>
        <w:pStyle w:val="Normal"/>
        <w:rPr/>
      </w:pPr>
      <w:r>
        <w:rPr>
          <w:b/>
          <w:sz w:val="22"/>
        </w:rPr>
        <w:t>II.</w:t>
      </w:r>
      <w:r>
        <w:rPr>
          <w:sz w:val="22"/>
        </w:rPr>
        <w:tab/>
      </w:r>
      <w:r>
        <w:rPr>
          <w:b/>
          <w:sz w:val="22"/>
          <w:u w:val="single"/>
        </w:rPr>
        <w:t>Historical Perspetive</w:t>
      </w:r>
    </w:p>
    <w:p>
      <w:pPr>
        <w:pStyle w:val="Normal"/>
        <w:rPr>
          <w:b/>
          <w:sz w:val="22"/>
          <w:u w:val="single"/>
        </w:rPr>
      </w:pPr>
      <w:r>
        <w:rPr>
          <w:b/>
          <w:sz w:val="22"/>
          <w:u w:val="single"/>
        </w:rPr>
      </w:r>
    </w:p>
    <w:p>
      <w:pPr>
        <w:pStyle w:val="Normal"/>
        <w:rPr/>
      </w:pPr>
      <w:r>
        <w:rPr>
          <w:b/>
          <w:i/>
          <w:sz w:val="22"/>
          <w:u w:val="single"/>
        </w:rPr>
        <w:t>Electricity Market.</w:t>
      </w:r>
      <w:r>
        <w:rPr>
          <w:sz w:val="22"/>
          <w:u w:val="single"/>
        </w:rPr>
        <w:t xml:space="preserve">  </w:t>
      </w:r>
    </w:p>
    <w:p>
      <w:pPr>
        <w:pStyle w:val="Normal"/>
        <w:rPr>
          <w:sz w:val="22"/>
        </w:rPr>
      </w:pPr>
      <w:r>
        <w:rPr>
          <w:sz w:val="22"/>
        </w:rPr>
        <w:t xml:space="preserve">The electricity distribution and, in limited part, generation sectors have been privatized since 1995.  The development of open access rules and of an electricity spot market ( TMO and CMO) and settlement procedures has been developing over the 1999-2000 period.  </w:t>
      </w:r>
    </w:p>
    <w:p>
      <w:pPr>
        <w:pStyle w:val="Normal"/>
        <w:rPr>
          <w:sz w:val="22"/>
        </w:rPr>
      </w:pPr>
      <w:r>
        <w:rPr>
          <w:sz w:val="22"/>
        </w:rPr>
      </w:r>
    </w:p>
    <w:p>
      <w:pPr>
        <w:pStyle w:val="Normal"/>
        <w:rPr>
          <w:sz w:val="22"/>
        </w:rPr>
      </w:pPr>
      <w:r>
        <w:rPr>
          <w:sz w:val="22"/>
        </w:rPr>
        <w:t xml:space="preserve">There is some perception that the Brazil market has not afforded Enron the opportunity to purchase or market power .  The reality is that, though limited,  there existed in the Brazilian market in the course of 1999 several examples which demonstrated viable commercial opportunities for power purchase, wholesale market arbitrage and the marketing of financial option products. Examples include: </w:t>
      </w:r>
    </w:p>
    <w:p>
      <w:pPr>
        <w:pStyle w:val="Normal"/>
        <w:rPr>
          <w:sz w:val="22"/>
        </w:rPr>
      </w:pPr>
      <w:r>
        <w:rPr>
          <w:sz w:val="22"/>
        </w:rPr>
      </w:r>
    </w:p>
    <w:p>
      <w:pPr>
        <w:pStyle w:val="Normal"/>
        <w:rPr/>
      </w:pPr>
      <w:r>
        <w:rPr>
          <w:b/>
          <w:i/>
          <w:sz w:val="22"/>
          <w:u w:val="single"/>
        </w:rPr>
        <w:t>Wholesale Market Q3-Q4 ’00 arbitrage.</w:t>
      </w:r>
      <w:r>
        <w:rPr>
          <w:sz w:val="22"/>
        </w:rPr>
        <w:t xml:space="preserve"> The 2</w:t>
      </w:r>
      <w:r>
        <w:rPr>
          <w:sz w:val="22"/>
          <w:vertAlign w:val="superscript"/>
        </w:rPr>
        <w:t>nd</w:t>
      </w:r>
      <w:r>
        <w:rPr>
          <w:sz w:val="22"/>
        </w:rPr>
        <w:t xml:space="preserve"> Enron-Elektro commercial team ( myself, Albuquerque, Baccaro, Otavio and Berti)  put together in Oct 1999 identified low-risk, arbitrage opportunities fairly quickly.  We had established Brazil’s first proactive energy sale and purchase desk focussed as much on information gathering as on transacting.  </w:t>
      </w:r>
    </w:p>
    <w:p>
      <w:pPr>
        <w:pStyle w:val="Normal"/>
        <w:rPr>
          <w:sz w:val="22"/>
        </w:rPr>
      </w:pPr>
      <w:r>
        <w:rPr>
          <w:sz w:val="22"/>
        </w:rPr>
      </w:r>
    </w:p>
    <w:p>
      <w:pPr>
        <w:pStyle w:val="Normal"/>
        <w:rPr>
          <w:sz w:val="22"/>
        </w:rPr>
      </w:pPr>
      <w:r>
        <w:rPr>
          <w:sz w:val="22"/>
        </w:rPr>
        <w:t xml:space="preserve">Given the settlement procedures at the time and simple price and transaction information inefficiencies (and prior to the recent introduction of the new MAE settlement procedures (Sep ’00)), we estimated a consistent ability to capture a R$6-7/MW margin on ca. 20MWs/h per month. </w:t>
      </w:r>
    </w:p>
    <w:p>
      <w:pPr>
        <w:pStyle w:val="Normal"/>
        <w:rPr>
          <w:sz w:val="22"/>
        </w:rPr>
      </w:pPr>
      <w:r>
        <w:rPr>
          <w:sz w:val="22"/>
        </w:rPr>
      </w:r>
    </w:p>
    <w:p>
      <w:pPr>
        <w:pStyle w:val="Normal"/>
        <w:rPr/>
      </w:pPr>
      <w:r>
        <w:rPr>
          <w:b/>
          <w:i/>
          <w:sz w:val="22"/>
          <w:u w:val="single"/>
        </w:rPr>
        <w:t>Columbian Chemicals (Carbon Black).</w:t>
      </w:r>
      <w:r>
        <w:rPr>
          <w:i/>
          <w:sz w:val="22"/>
          <w:u w:val="single"/>
        </w:rPr>
        <w:t xml:space="preserve"> </w:t>
      </w:r>
      <w:r>
        <w:rPr>
          <w:sz w:val="22"/>
        </w:rPr>
        <w:t xml:space="preserve"> Bundled product purchase of firm (5MWs), non-firm (3MWs) and sale of firm (20MWs) power.  Priced reasonably well, this deal mostly highlighted weaknesses in our ability to market as a team and price and execute contract terms and conditions efficiently. </w:t>
      </w:r>
    </w:p>
    <w:p>
      <w:pPr>
        <w:pStyle w:val="Normal"/>
        <w:rPr>
          <w:sz w:val="22"/>
        </w:rPr>
      </w:pPr>
      <w:r>
        <w:rPr>
          <w:sz w:val="22"/>
        </w:rPr>
      </w:r>
    </w:p>
    <w:p>
      <w:pPr>
        <w:pStyle w:val="Normal"/>
        <w:rPr/>
      </w:pPr>
      <w:r>
        <w:rPr>
          <w:b/>
          <w:i/>
          <w:sz w:val="22"/>
          <w:u w:val="single"/>
        </w:rPr>
        <w:t>Grupo Rede.</w:t>
      </w:r>
      <w:r>
        <w:rPr>
          <w:sz w:val="22"/>
        </w:rPr>
        <w:t xml:space="preserve"> One of 55 electricity LDCs, but with cross holdings in 6 LDCs and significant generation and transmission assets or projects, Rede innovated in the market by publicly tendering in Mar ’99 to sell 2 tranches of 50MWs at R$38.01/MW from May 1, 1999 for up to 18 months.</w:t>
      </w:r>
    </w:p>
    <w:p>
      <w:pPr>
        <w:pStyle w:val="Normal"/>
        <w:rPr>
          <w:sz w:val="22"/>
        </w:rPr>
      </w:pPr>
      <w:r>
        <w:rPr>
          <w:sz w:val="22"/>
        </w:rPr>
      </w:r>
    </w:p>
    <w:p>
      <w:pPr>
        <w:pStyle w:val="Normal"/>
        <w:rPr/>
      </w:pPr>
      <w:r>
        <w:rPr>
          <w:b/>
          <w:i/>
          <w:sz w:val="22"/>
          <w:u w:val="single"/>
        </w:rPr>
        <w:t>CSN (Steel).</w:t>
      </w:r>
      <w:r>
        <w:rPr>
          <w:sz w:val="22"/>
        </w:rPr>
        <w:t xml:space="preserve">  Sale of 10MWs of surplus hydroelectric generation for Sep and Q4 ’99.  Learning experience on understanding and meeting with senior decision makers, but also exposed our inability to price call options and to quote competitively with a viable forward curve. </w:t>
      </w:r>
    </w:p>
    <w:p>
      <w:pPr>
        <w:pStyle w:val="Normal"/>
        <w:rPr>
          <w:sz w:val="22"/>
        </w:rPr>
      </w:pPr>
      <w:r>
        <w:rPr>
          <w:sz w:val="22"/>
        </w:rPr>
      </w:r>
    </w:p>
    <w:p>
      <w:pPr>
        <w:pStyle w:val="Normal"/>
        <w:rPr/>
      </w:pPr>
      <w:r>
        <w:rPr>
          <w:b/>
          <w:i/>
          <w:sz w:val="22"/>
          <w:u w:val="single"/>
        </w:rPr>
        <w:t>Petrobras (Petroleum).</w:t>
      </w:r>
      <w:r>
        <w:rPr>
          <w:sz w:val="22"/>
        </w:rPr>
        <w:t xml:space="preserve">  Sale of 11MWs of surplus generation over an open term (12 months).  The competing LDC had advantage in pricing against connection costs, but we never assigned the value to the transaction either with the prestige and marketability of the Brazilian institution counterparty, nor with the introduction it was likely to have provided to Petrobras’ multiple other power generation facilities.   </w:t>
      </w:r>
    </w:p>
    <w:p>
      <w:pPr>
        <w:pStyle w:val="Normal"/>
        <w:rPr>
          <w:sz w:val="22"/>
        </w:rPr>
      </w:pPr>
      <w:r>
        <w:rPr>
          <w:sz w:val="22"/>
        </w:rPr>
      </w:r>
    </w:p>
    <w:p>
      <w:pPr>
        <w:pStyle w:val="Normal"/>
        <w:rPr>
          <w:sz w:val="22"/>
        </w:rPr>
      </w:pPr>
      <w:r>
        <w:rPr>
          <w:sz w:val="22"/>
        </w:rPr>
        <w:t>Demonstrated the limited strategic thinking  process in the commercial group and a less than prepared trading effort in terms of open position-taking and forward curve pricing.</w:t>
      </w:r>
    </w:p>
    <w:p>
      <w:pPr>
        <w:pStyle w:val="Normal"/>
        <w:rPr>
          <w:sz w:val="22"/>
        </w:rPr>
      </w:pPr>
      <w:r>
        <w:rPr>
          <w:sz w:val="22"/>
        </w:rPr>
      </w:r>
    </w:p>
    <w:p>
      <w:pPr>
        <w:pStyle w:val="Normal"/>
        <w:rPr/>
      </w:pPr>
      <w:r>
        <w:rPr>
          <w:b/>
          <w:i/>
          <w:sz w:val="22"/>
          <w:u w:val="single"/>
        </w:rPr>
        <w:t>Management</w:t>
      </w:r>
      <w:r>
        <w:rPr>
          <w:sz w:val="22"/>
        </w:rPr>
        <w:t xml:space="preserve">.  </w:t>
      </w:r>
    </w:p>
    <w:p>
      <w:pPr>
        <w:pStyle w:val="Normal"/>
        <w:rPr>
          <w:sz w:val="22"/>
        </w:rPr>
      </w:pPr>
      <w:r>
        <w:rPr>
          <w:sz w:val="22"/>
        </w:rPr>
        <w:t xml:space="preserve">I pretty consistently have articulated the need in the commercial groups for a flat structure, delegated responsibilities, team ethics, accelerated PRC reviews (given the general level of industry and Enron inexperience ) and open communication. </w:t>
      </w:r>
    </w:p>
    <w:p>
      <w:pPr>
        <w:pStyle w:val="Normal"/>
        <w:rPr>
          <w:sz w:val="22"/>
        </w:rPr>
      </w:pPr>
      <w:r>
        <w:rPr>
          <w:sz w:val="22"/>
        </w:rPr>
        <w:t xml:space="preserve"> </w:t>
      </w:r>
    </w:p>
    <w:p>
      <w:pPr>
        <w:pStyle w:val="Normal"/>
        <w:rPr>
          <w:sz w:val="22"/>
        </w:rPr>
      </w:pPr>
      <w:r>
        <w:rPr>
          <w:sz w:val="22"/>
        </w:rPr>
        <w:t xml:space="preserve">The commercial initiative has needed Leadership in terms of well communicated and consistent strategy including product development, Guidance on internal procedures and contacts, Communication in terms of commercial activities both between functional or support units inside Direct Sales and across business units.  </w:t>
      </w:r>
    </w:p>
    <w:p>
      <w:pPr>
        <w:pStyle w:val="Normal"/>
        <w:rPr>
          <w:sz w:val="22"/>
        </w:rPr>
      </w:pPr>
      <w:r>
        <w:rPr>
          <w:sz w:val="22"/>
        </w:rPr>
      </w:r>
    </w:p>
    <w:p>
      <w:pPr>
        <w:pStyle w:val="Normal"/>
        <w:rPr>
          <w:sz w:val="22"/>
        </w:rPr>
      </w:pPr>
      <w:r>
        <w:rPr>
          <w:sz w:val="22"/>
        </w:rPr>
        <w:t xml:space="preserve">A dangerous and significant challenge for any potential success for the commercial groups going forward will be its leadership’s willingness and ability to redress, confront and eliminate the self-promoting,  subjectively reviewed behaviors which are entrenched and which have, in fact, been promoted. </w:t>
      </w:r>
    </w:p>
    <w:p>
      <w:pPr>
        <w:pStyle w:val="Normal"/>
        <w:rPr>
          <w:sz w:val="22"/>
        </w:rPr>
      </w:pPr>
      <w:r>
        <w:rPr>
          <w:sz w:val="22"/>
        </w:rPr>
      </w:r>
    </w:p>
    <w:p>
      <w:pPr>
        <w:pStyle w:val="Normal"/>
        <w:rPr>
          <w:b/>
          <w:i/>
          <w:i/>
          <w:sz w:val="22"/>
          <w:u w:val="single"/>
        </w:rPr>
      </w:pPr>
      <w:r>
        <w:rPr>
          <w:b/>
          <w:i/>
          <w:sz w:val="22"/>
          <w:u w:val="single"/>
        </w:rPr>
        <w:t xml:space="preserve">Origination/Marketing.  </w:t>
      </w:r>
    </w:p>
    <w:p>
      <w:pPr>
        <w:pStyle w:val="Normal"/>
        <w:rPr>
          <w:sz w:val="22"/>
        </w:rPr>
      </w:pPr>
      <w:r>
        <w:rPr>
          <w:sz w:val="22"/>
        </w:rPr>
        <w:t xml:space="preserve">Though there was an important transition in the Origination strategy from Q1 ’00 where we (appropriately) transitioned from being product-driven to customer-driven, Enron alienated customers to some extent and has needed to make progress in FY 2000 re-building credibility. </w:t>
      </w:r>
    </w:p>
    <w:p>
      <w:pPr>
        <w:pStyle w:val="Normal"/>
        <w:rPr>
          <w:sz w:val="22"/>
        </w:rPr>
      </w:pPr>
      <w:r>
        <w:rPr>
          <w:sz w:val="22"/>
        </w:rPr>
      </w:r>
    </w:p>
    <w:p>
      <w:pPr>
        <w:pStyle w:val="Normal"/>
        <w:rPr>
          <w:sz w:val="22"/>
        </w:rPr>
      </w:pPr>
      <w:r>
        <w:rPr>
          <w:sz w:val="22"/>
        </w:rPr>
        <w:t>The product-driven approach resulted in Enron having had  in the course of 1999 meetings with customers that were neither coordinated, nor well communicated – even within the same business unit.   This directly discounted Enron’s brand name in the market and significantly confused customers on our product line</w:t>
      </w:r>
    </w:p>
    <w:p>
      <w:pPr>
        <w:pStyle w:val="Normal"/>
        <w:rPr>
          <w:sz w:val="22"/>
        </w:rPr>
      </w:pPr>
      <w:r>
        <w:rPr>
          <w:sz w:val="22"/>
        </w:rPr>
      </w:r>
    </w:p>
    <w:p>
      <w:pPr>
        <w:pStyle w:val="Normal"/>
        <w:rPr>
          <w:sz w:val="22"/>
        </w:rPr>
      </w:pPr>
      <w:r>
        <w:rPr>
          <w:sz w:val="22"/>
        </w:rPr>
        <w:t xml:space="preserve">The concentration of decision-making in a very few individuals at the board or senior executive level at Brazilian companies cannot be underemphasized in formulating the origination/marketing strategy in the region.   We continue to be challenged to raise our relationships and sights to the relevant executive level, including assessing the internal and external contacts of the group prior to prioritizing the critical target companies. </w:t>
      </w:r>
    </w:p>
    <w:p>
      <w:pPr>
        <w:pStyle w:val="Normal"/>
        <w:rPr>
          <w:sz w:val="22"/>
        </w:rPr>
      </w:pPr>
      <w:r>
        <w:rPr>
          <w:sz w:val="22"/>
        </w:rPr>
      </w:r>
    </w:p>
    <w:p>
      <w:pPr>
        <w:pStyle w:val="Normal"/>
        <w:rPr/>
      </w:pPr>
      <w:r>
        <w:rPr/>
        <w:t xml:space="preserve"> </w:t>
      </w:r>
    </w:p>
    <w:p>
      <w:pPr>
        <w:pStyle w:val="Normal"/>
        <w:rPr/>
      </w:pPr>
      <w:r>
        <w:rPr/>
      </w:r>
    </w:p>
    <w:p>
      <w:pPr>
        <w:pStyle w:val="Normal"/>
        <w:rPr/>
      </w:pPr>
      <w:r>
        <w:rPr/>
        <w:t xml:space="preserve">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2000-11-03T10:47:00Z</dcterms:created>
  <dc:creator>Enron South America</dc:creator>
  <dc:description/>
  <dc:language>en-CA</dc:language>
  <cp:lastModifiedBy>Enron South America</cp:lastModifiedBy>
  <dcterms:modified xsi:type="dcterms:W3CDTF">2000-11-09T16:48:00Z</dcterms:modified>
  <cp:revision>44</cp:revision>
  <dc:subject/>
  <dc:title>Historical Perspetive</dc:title>
</cp:coreProperties>
</file>