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Heading1"/>
        <w:ind w:hanging="0" w:start="0"/>
        <w:rPr/>
      </w:pPr>
      <w:r>
        <w:rPr/>
      </w:r>
    </w:p>
    <w:p>
      <w:pPr>
        <w:pStyle w:val="Heading1"/>
        <w:ind w:hanging="0" w:start="0"/>
        <w:rPr/>
      </w:pPr>
      <w:r>
        <w:rPr/>
        <w:t>CONFIDENTIAL</w:t>
      </w:r>
    </w:p>
    <w:p>
      <w:pPr>
        <w:pStyle w:val="Normal"/>
        <w:jc w:val="both"/>
        <w:rPr/>
      </w:pPr>
      <w:r>
        <w:rPr/>
      </w:r>
    </w:p>
    <w:p>
      <w:pPr>
        <w:pStyle w:val="Normal"/>
        <w:jc w:val="both"/>
        <w:rPr/>
      </w:pPr>
      <w:r>
        <w:rPr/>
      </w:r>
    </w:p>
    <w:p>
      <w:pPr>
        <w:pStyle w:val="Normal"/>
        <w:jc w:val="both"/>
        <w:rPr/>
      </w:pPr>
      <w:r>
        <w:rPr/>
      </w:r>
    </w:p>
    <w:p>
      <w:pPr>
        <w:pStyle w:val="Normal"/>
        <w:jc w:val="both"/>
        <w:rPr/>
      </w:pPr>
      <w:r>
        <w:rPr/>
        <w:t>May 8, 2001</w:t>
      </w:r>
    </w:p>
    <w:p>
      <w:pPr>
        <w:pStyle w:val="Normal"/>
        <w:jc w:val="both"/>
        <w:rPr/>
      </w:pPr>
      <w:r>
        <w:rPr/>
      </w:r>
    </w:p>
    <w:p>
      <w:pPr>
        <w:pStyle w:val="Normal"/>
        <w:jc w:val="both"/>
        <w:rPr/>
      </w:pPr>
      <w:r>
        <w:rPr/>
        <w:t>Niagara Mohawk Power Corporation</w:t>
      </w:r>
    </w:p>
    <w:p>
      <w:pPr>
        <w:pStyle w:val="Normal"/>
        <w:jc w:val="both"/>
        <w:rPr/>
      </w:pPr>
      <w:r>
        <w:rPr/>
        <w:t>c/o Navigant Consulting, Inc.</w:t>
      </w:r>
    </w:p>
    <w:p>
      <w:pPr>
        <w:pStyle w:val="Normal"/>
        <w:jc w:val="both"/>
        <w:rPr/>
      </w:pPr>
      <w:r>
        <w:rPr/>
        <w:t>200 Wheeler Road, 4</w:t>
      </w:r>
      <w:r>
        <w:rPr>
          <w:vertAlign w:val="superscript"/>
        </w:rPr>
        <w:t>th</w:t>
      </w:r>
      <w:r>
        <w:rPr/>
        <w:t xml:space="preserve"> floor</w:t>
      </w:r>
    </w:p>
    <w:p>
      <w:pPr>
        <w:pStyle w:val="Normal"/>
        <w:jc w:val="both"/>
        <w:rPr/>
      </w:pPr>
      <w:r>
        <w:rPr/>
        <w:t>Burlington, MA  01803</w:t>
      </w:r>
    </w:p>
    <w:p>
      <w:pPr>
        <w:pStyle w:val="Normal"/>
        <w:jc w:val="both"/>
        <w:rPr/>
      </w:pPr>
      <w:r>
        <w:rPr/>
      </w:r>
    </w:p>
    <w:p>
      <w:pPr>
        <w:pStyle w:val="Normal"/>
        <w:jc w:val="both"/>
        <w:rPr/>
      </w:pPr>
      <w:r>
        <w:rPr/>
        <w:t>Attention:  Lisa Quilici</w:t>
      </w:r>
    </w:p>
    <w:p>
      <w:pPr>
        <w:pStyle w:val="Normal"/>
        <w:jc w:val="both"/>
        <w:rPr/>
      </w:pPr>
      <w:r>
        <w:rPr/>
      </w:r>
    </w:p>
    <w:p>
      <w:pPr>
        <w:pStyle w:val="Heading1"/>
        <w:ind w:hanging="0" w:start="0"/>
        <w:rPr/>
      </w:pPr>
      <w:r>
        <w:rPr/>
        <w:t>Via Electronic Mail and Hand Delivery</w:t>
      </w:r>
    </w:p>
    <w:p>
      <w:pPr>
        <w:pStyle w:val="Normal"/>
        <w:jc w:val="both"/>
        <w:rPr/>
      </w:pPr>
      <w:r>
        <w:rPr/>
      </w:r>
    </w:p>
    <w:p>
      <w:pPr>
        <w:pStyle w:val="Normal"/>
        <w:jc w:val="both"/>
        <w:rPr/>
      </w:pPr>
      <w:r>
        <w:rPr/>
        <w:t>Ladies and Gentlemen:</w:t>
      </w:r>
    </w:p>
    <w:p>
      <w:pPr>
        <w:pStyle w:val="Normal"/>
        <w:jc w:val="both"/>
        <w:rPr/>
      </w:pPr>
      <w:r>
        <w:rPr/>
      </w:r>
    </w:p>
    <w:p>
      <w:pPr>
        <w:pStyle w:val="Normal"/>
        <w:jc w:val="both"/>
        <w:rPr/>
      </w:pPr>
      <w:r>
        <w:rPr/>
        <w:t>Enron Power Marketing, Inc. (“Enron”) is pleased to submit for your consideration this proposal in response to Niagara Mohawk Power Corporation’s (“NMPC”) Solicitation for (1) the Management of Supply Contracts and Power Supply for Standard Offer Service (“SOS”) Load, and (2) Power Supply for Market Price Service (“MPS”) Load.</w:t>
      </w:r>
    </w:p>
    <w:p>
      <w:pPr>
        <w:pStyle w:val="Normal"/>
        <w:jc w:val="both"/>
        <w:rPr/>
      </w:pPr>
      <w:r>
        <w:rPr/>
      </w:r>
    </w:p>
    <w:p>
      <w:pPr>
        <w:pStyle w:val="Normal"/>
        <w:jc w:val="both"/>
        <w:rPr/>
      </w:pPr>
      <w:r>
        <w:rPr/>
        <w:t>As detailed herein, Enron is presenting a proposal for the Management of Supply Contracts and Power Supply for SOS Load that conforms in structure to Bid Option 1b.  This proposal structure is hereinafter referred to as the “Conforming Transaction Structure.”</w:t>
      </w:r>
    </w:p>
    <w:p>
      <w:pPr>
        <w:pStyle w:val="Normal"/>
        <w:jc w:val="both"/>
        <w:rPr/>
      </w:pPr>
      <w:r>
        <w:rPr/>
      </w:r>
    </w:p>
    <w:p>
      <w:pPr>
        <w:pStyle w:val="Normal"/>
        <w:jc w:val="both"/>
        <w:rPr/>
      </w:pPr>
      <w:r>
        <w:rPr/>
        <w:t>In addition to the Conforming Transaction Structure, Enron is presenting an alternative, non-conforming proposal which we believe offers a significantly more prudent, cost-effective, and practical approach for NMPC to achieve its objectives consistent with its corporate vision and regulatory settlement agreements.  This proposal structure, which Enron considers proprietary, is hereinafter referred to as the “Enron Transaction Structure.”</w:t>
      </w:r>
    </w:p>
    <w:p>
      <w:pPr>
        <w:pStyle w:val="Normal"/>
        <w:jc w:val="both"/>
        <w:rPr/>
      </w:pPr>
      <w:r>
        <w:rPr/>
      </w:r>
    </w:p>
    <w:p>
      <w:pPr>
        <w:pStyle w:val="Normal"/>
        <w:jc w:val="both"/>
        <w:rPr/>
      </w:pPr>
      <w:r>
        <w:rPr/>
        <w:t>Finally, Enron is presenting a proposal for Power Supply for MPS Load in accordance with the structure outlined in NMPC’s Solicitation, hereinafter referred to as the “MPS Proposal.”</w:t>
      </w:r>
    </w:p>
    <w:p>
      <w:pPr>
        <w:pStyle w:val="Normal"/>
        <w:jc w:val="both"/>
        <w:rPr/>
      </w:pPr>
      <w:r>
        <w:rPr/>
      </w:r>
    </w:p>
    <w:p>
      <w:pPr>
        <w:pStyle w:val="Normal"/>
        <w:jc w:val="both"/>
        <w:rPr/>
      </w:pPr>
      <w:r>
        <w:rPr/>
        <w:t>Notwithstanding anything in the Bid Instructions Letter, all information submitted in this proposal is prepared solely to facilitate discussions between NMPC and Enron, and is not, or intended to be, a binding commitment on the part of Enron to negotiate or enter into a transaction based on the terms and conditions elaborated herein or otherwise.</w:t>
      </w:r>
    </w:p>
    <w:p>
      <w:pPr>
        <w:pStyle w:val="Normal"/>
        <w:jc w:val="both"/>
        <w:rPr/>
      </w:pPr>
      <w:r>
        <w:rPr/>
      </w:r>
    </w:p>
    <w:p>
      <w:pPr>
        <w:pStyle w:val="Normal"/>
        <w:jc w:val="both"/>
        <w:rPr/>
      </w:pPr>
      <w:r>
        <w:rPr/>
        <w:t>The Conforming Transaction Structure, Enron Transaction Structure, and the MPS Proposal are discussed in more detail in the sections that follow.</w:t>
      </w:r>
    </w:p>
    <w:p>
      <w:pPr>
        <w:pStyle w:val="Normal"/>
        <w:jc w:val="both"/>
        <w:rPr/>
      </w:pPr>
      <w:r>
        <w:rPr/>
      </w:r>
    </w:p>
    <w:p>
      <w:pPr>
        <w:pStyle w:val="Normal"/>
        <w:jc w:val="both"/>
        <w:rPr/>
      </w:pPr>
      <w:r>
        <w:rPr/>
      </w:r>
    </w:p>
    <w:p>
      <w:pPr>
        <w:pStyle w:val="Normal"/>
        <w:jc w:val="both"/>
        <w:rPr>
          <w:b/>
        </w:rPr>
      </w:pPr>
      <w:r>
        <w:rPr>
          <w:b/>
        </w:rPr>
      </w:r>
    </w:p>
    <w:p>
      <w:pPr>
        <w:pStyle w:val="Normal"/>
        <w:jc w:val="both"/>
        <w:rPr>
          <w:b/>
        </w:rPr>
      </w:pPr>
      <w:r>
        <w:rPr>
          <w:b/>
        </w:rPr>
        <w:t xml:space="preserve">I. </w:t>
        <w:tab/>
      </w:r>
      <w:r>
        <w:rPr>
          <w:b/>
          <w:u w:val="single"/>
        </w:rPr>
        <w:t>Conforming Transaction Structure</w:t>
      </w:r>
    </w:p>
    <w:p>
      <w:pPr>
        <w:pStyle w:val="Normal"/>
        <w:jc w:val="both"/>
        <w:rPr>
          <w:b/>
        </w:rPr>
      </w:pPr>
      <w:r>
        <w:rPr>
          <w:b/>
        </w:rPr>
      </w:r>
    </w:p>
    <w:p>
      <w:pPr>
        <w:pStyle w:val="Normal"/>
        <w:jc w:val="both"/>
        <w:rPr/>
      </w:pPr>
      <w:r>
        <w:rPr/>
        <w:t>In the Conforming Transaction Structure, Enron is proposing to assume management of NMPC’s power supply portfolio (including its TCCs) and to provide power to meet NMPC’s SOS load requirements in accordance with Bid Option 1b.   Our evaluation of this structure results in a need for NMPC to make substantial payments to Enron.  These payments are needed to compensate Enron for the significant out-of-market costs of the aggregate supply portfolio and the SOS load positions, as well as to cover the large market risk and credit premiums required for an all-encompassing transaction of this nature and size.  The indicative payments that Enron would require from NMPC are presented on the standard bid response form, which is included as Attachment 1 to this proposal.   In addition, due to the fact that the required payments of NMPC far exceed the credit support available through conventional means, Enron would require a senior, secured claim against all of NMPC’s assets in order to adequately address the inherent credit exposure of this transaction.</w:t>
      </w:r>
    </w:p>
    <w:p>
      <w:pPr>
        <w:pStyle w:val="Normal"/>
        <w:jc w:val="both"/>
        <w:rPr/>
      </w:pPr>
      <w:r>
        <w:rPr/>
      </w:r>
    </w:p>
    <w:p>
      <w:pPr>
        <w:pStyle w:val="BodyText"/>
        <w:rPr/>
      </w:pPr>
      <w:r>
        <w:rPr/>
        <w:t>Clearly, the severe out-of-market position of NMPC’s supply and SOS Load portfolio justifies a significant payment by NMPC to Enron, but the extremely large market and credit risks of a transaction of this magnitude greatly increases the size of these required payments. However, the magnitude of the market/credit premium takes on a non-linear growth relative to the overall size of the position.  As such, a smaller transaction of the same or similar structure may offer the opportunity to significantly reduce the required premium.   Therefore, in addition to a conforming structure that contemplates Enron assuming 100% of the supply portfolio and SOS Load, we have presented an alternative indicative proposal assuming Enron assumes 15% of the supply/SOS Load portfolio, with greatly reduced market/credit risk premiums from the 100% baseline scenario.  The required payments by NMPC to Enron on this variation are presented on the standard bid response form also included in Attachment 1 to this proposal.  In addition, NMPC and Enron would need to negotiate mutually agreeable credit terms.</w:t>
      </w:r>
    </w:p>
    <w:p>
      <w:pPr>
        <w:pStyle w:val="BodyText"/>
        <w:rPr/>
      </w:pPr>
      <w:r>
        <w:rPr/>
      </w:r>
    </w:p>
    <w:p>
      <w:pPr>
        <w:pStyle w:val="BodyText"/>
        <w:rPr/>
      </w:pPr>
      <w:r>
        <w:rPr/>
        <w:t>While a “slice of portfolio” transaction would address only a portion of NMPC’s overall needs, such a structure could be coupled with an alternative, non-conforming approach – such as the Enron Transaction Structure discussed in the next section – that targets the balance of the NMPC supply portfolio and SOS Load obligations.  Indeed, a coupling of these alternative approaches could represent an overall more cost-effective and prudent approach to achieving NMPC’s objectives than the transaction structure contemplated in NMPC’s Solicitation.</w:t>
      </w:r>
    </w:p>
    <w:p>
      <w:pPr>
        <w:pStyle w:val="Normal"/>
        <w:jc w:val="both"/>
        <w:rPr/>
      </w:pPr>
      <w:r>
        <w:rPr/>
      </w:r>
    </w:p>
    <w:p>
      <w:pPr>
        <w:pStyle w:val="Normal"/>
        <w:jc w:val="both"/>
        <w:rPr>
          <w:b/>
        </w:rPr>
      </w:pPr>
      <w:r>
        <w:rPr>
          <w:b/>
        </w:rPr>
        <w:t xml:space="preserve">II. </w:t>
        <w:tab/>
      </w:r>
      <w:r>
        <w:rPr>
          <w:b/>
          <w:u w:val="single"/>
        </w:rPr>
        <w:t>Enron Transaction Structure</w:t>
      </w:r>
    </w:p>
    <w:p>
      <w:pPr>
        <w:pStyle w:val="Normal"/>
        <w:jc w:val="both"/>
        <w:rPr>
          <w:b/>
        </w:rPr>
      </w:pPr>
      <w:r>
        <w:rPr>
          <w:b/>
        </w:rPr>
      </w:r>
    </w:p>
    <w:p>
      <w:pPr>
        <w:pStyle w:val="Normal"/>
        <w:jc w:val="both"/>
        <w:rPr>
          <w:b/>
        </w:rPr>
      </w:pPr>
      <w:r>
        <w:rPr>
          <w:b/>
        </w:rPr>
        <w:t>BY REVIEWING THE MATERIAL PRESENTED IN THIS SECTION II, NMPC AND NCI AGREE TO TREAT SUCH INFORMATION AS CONFIDENTIAL AND NOT DISCLOSE SUCH INFORMATION TO ANY THIRD PARTY WITHOUT THE PRIOR CONSENT OF ENRON.</w:t>
      </w:r>
    </w:p>
    <w:p>
      <w:pPr>
        <w:pStyle w:val="Normal"/>
        <w:jc w:val="both"/>
        <w:rPr>
          <w:b/>
        </w:rPr>
      </w:pPr>
      <w:r>
        <w:rPr>
          <w:b/>
        </w:rPr>
      </w:r>
    </w:p>
    <w:p>
      <w:pPr>
        <w:pStyle w:val="Normal"/>
        <w:jc w:val="both"/>
        <w:rPr/>
      </w:pPr>
      <w:r>
        <w:rPr/>
        <w:t>As discussed above, the nature and size of the Conforming Transaction Structure involves a considerable risk premium that must be recovered from NMPC – and ultimately its customers – through significant monthly cash payments to Enron.  The primary risk components for which this premium must be charged include, but are not limited to: (1) market liquidity risk – covering and liquidating a position of the magnitude and duration contemplated in the Solicitation in the New York market incurs very high transaction costs;  (2) NMPC credit risk – the magnitude of the required payments of NMPC far exceed the credit support available from conventional arrangements, thus requiring highly tailored credit/collateral arrangements and a significant price premium; and (3) Supply contract operational/production risks – associated with the various supply arrangements in the NMPC portfolio.</w:t>
      </w:r>
    </w:p>
    <w:p>
      <w:pPr>
        <w:pStyle w:val="Normal"/>
        <w:jc w:val="both"/>
        <w:rPr/>
      </w:pPr>
      <w:r>
        <w:rPr/>
      </w:r>
    </w:p>
    <w:p>
      <w:pPr>
        <w:pStyle w:val="Normal"/>
        <w:jc w:val="both"/>
        <w:rPr/>
      </w:pPr>
      <w:r>
        <w:rPr/>
        <w:t>Given NMPC’s objectives as Enron understands them, it is Enron’s strong opinion that the Conforming Transaction Structure, with its extremely large risk premium, is not a prudent path for NMPC to follow.   Put simply, Enron believes an alternative approach will allow NMPC to better achieve its stated objectives – including mitigating ultimate customer price volatility, optimizing the value of the NMPC portfolio, and allowing NMPC to fulfill its mission of exiting the commodity business – while avoiding the huge risk premium that would be required under the Conforming Transaction Structure.  Accordingly, we propose the Enron Transaction Structure as a superior course of action for NMPC to take.</w:t>
      </w:r>
    </w:p>
    <w:p>
      <w:pPr>
        <w:pStyle w:val="Normal"/>
        <w:jc w:val="both"/>
        <w:rPr/>
      </w:pPr>
      <w:r>
        <w:rPr/>
      </w:r>
    </w:p>
    <w:p>
      <w:pPr>
        <w:pStyle w:val="Normal"/>
        <w:jc w:val="both"/>
        <w:rPr/>
      </w:pPr>
      <w:r>
        <w:rPr/>
        <w:t>The specific parameters of the Enron Transaction Structure are highly flexible and adaptable to enable a customized a solution to NMPC’s corporate and regulatory objectives, and these parameters can be best crafted in a negotiation setting.  However, the basic form of the transaction would entail a services/portfolio management arrangement in which Enron, working closely in partnership with NMPC, performs and/or facilitates a number of key functions aimed at optimizing NMPC’s commodity portfolio positions and strategically hedging customers’ exposure to volatile energy prices.  As discussed in more detail later, the compensation by NMPC to Enron under this arrangement would be tied to the actual amount value provided by Enron, as measured by objective performance metrics established at the outset of the arrangement.   Specific sharing arrangements would be negotiated that provide an appropriate allocation of savings relative to the performance metrics to NMPC shareholders, NMPC customers, and finally to Enron based on its value creation.</w:t>
      </w:r>
    </w:p>
    <w:p>
      <w:pPr>
        <w:pStyle w:val="Normal"/>
        <w:jc w:val="both"/>
        <w:rPr/>
      </w:pPr>
      <w:r>
        <w:rPr/>
      </w:r>
    </w:p>
    <w:p>
      <w:pPr>
        <w:pStyle w:val="Normal"/>
        <w:jc w:val="both"/>
        <w:rPr/>
      </w:pPr>
      <w:r>
        <w:rPr/>
        <w:t>The specific functions served by Enron under this partnership arrangement would include, but not necessarily be limited to the following:</w:t>
      </w:r>
    </w:p>
    <w:p>
      <w:pPr>
        <w:pStyle w:val="Normal"/>
        <w:jc w:val="both"/>
        <w:rPr/>
      </w:pPr>
      <w:r>
        <w:rPr/>
      </w:r>
    </w:p>
    <w:p>
      <w:pPr>
        <w:pStyle w:val="Normal"/>
        <w:numPr>
          <w:ilvl w:val="0"/>
          <w:numId w:val="3"/>
        </w:numPr>
        <w:jc w:val="both"/>
        <w:rPr/>
      </w:pPr>
      <w:r>
        <w:rPr>
          <w:b/>
          <w:i/>
        </w:rPr>
        <w:t>Hedging strategy formulation and execution</w:t>
      </w:r>
      <w:r>
        <w:rPr/>
        <w:t xml:space="preserve"> – This would involve a comprehensive review of NMPC’s portfolio (including identification of internal natural hedges and cross-commodity influences) to design an objective-driven hedging strategy and execution protocols/controls to effectively implement the strategy.  The hedging strategy would not be a static “plan,” but rather a dynamic process for continually evaluating and identifying prudent courses of action.</w:t>
      </w:r>
    </w:p>
    <w:p>
      <w:pPr>
        <w:pStyle w:val="Normal"/>
        <w:jc w:val="both"/>
        <w:rPr/>
      </w:pPr>
      <w:r>
        <w:rPr/>
      </w:r>
    </w:p>
    <w:p>
      <w:pPr>
        <w:pStyle w:val="Normal"/>
        <w:numPr>
          <w:ilvl w:val="0"/>
          <w:numId w:val="3"/>
        </w:numPr>
        <w:jc w:val="both"/>
        <w:rPr/>
      </w:pPr>
      <w:r>
        <w:rPr>
          <w:b/>
          <w:i/>
        </w:rPr>
        <w:t>Power trading</w:t>
      </w:r>
      <w:r>
        <w:rPr/>
        <w:t xml:space="preserve"> – Within the framework of the hedging strategy, Enron would provide access to Enron’s trading desks in forward and short-term markets, including its 24-hour-a-day trading functions.  Not only would Enron’s world-class trading personnel and expertise be made available, but Enron’s unparalleled marketing and distribution channels would also be made available to the partnership (including EnronOnline, by far the largest and most liquid electronic energy trading portal in the world, as well as Enron’s marketing/origination personnel).   Enron’s diverse marketing/distribution channels provide an efficient means to identify and capitalize on energy purchase/sales opportunities as NMPC’s commodity positions dictate.  It is important to clarify that Enron would execute all trades on behalf of NMPC, but NMPC would be the designated party to the transaction. Thus, NMPC would retain all credit and position risks with respect to the NMPC portfolio.</w:t>
      </w:r>
    </w:p>
    <w:p>
      <w:pPr>
        <w:pStyle w:val="Normal"/>
        <w:jc w:val="both"/>
        <w:rPr/>
      </w:pPr>
      <w:r>
        <w:rPr/>
      </w:r>
    </w:p>
    <w:p>
      <w:pPr>
        <w:pStyle w:val="Normal"/>
        <w:numPr>
          <w:ilvl w:val="0"/>
          <w:numId w:val="3"/>
        </w:numPr>
        <w:jc w:val="both"/>
        <w:rPr/>
      </w:pPr>
      <w:r>
        <w:rPr>
          <w:b/>
          <w:i/>
        </w:rPr>
        <w:t>Asset optimization and portfolio management</w:t>
      </w:r>
      <w:r>
        <w:rPr/>
        <w:t xml:space="preserve"> – Enron would identify ways in which to maximize the value of NMPC’s existing portfolio, including optimal hedging strategies with respect to the NMPC’s TCCs and the embedded commodity positions within the NMPC portfolio (e.g., gas positions in the swap agreements indexed to gas pricing).</w:t>
      </w:r>
    </w:p>
    <w:p>
      <w:pPr>
        <w:pStyle w:val="Normal"/>
        <w:jc w:val="both"/>
        <w:rPr/>
      </w:pPr>
      <w:r>
        <w:rPr/>
      </w:r>
    </w:p>
    <w:p>
      <w:pPr>
        <w:pStyle w:val="Normal"/>
        <w:numPr>
          <w:ilvl w:val="0"/>
          <w:numId w:val="3"/>
        </w:numPr>
        <w:jc w:val="both"/>
        <w:rPr/>
      </w:pPr>
      <w:r>
        <w:rPr>
          <w:b/>
          <w:i/>
        </w:rPr>
        <w:t>Risk assessment/reporting/control</w:t>
      </w:r>
      <w:r>
        <w:rPr/>
        <w:t xml:space="preserve"> – Enron would make available its industry-leading risk management infrastructure and processes to ensure accurate risk assessments associated with the NMPC portfolio.</w:t>
      </w:r>
    </w:p>
    <w:p>
      <w:pPr>
        <w:pStyle w:val="Normal"/>
        <w:jc w:val="both"/>
        <w:rPr/>
      </w:pPr>
      <w:r>
        <w:rPr/>
      </w:r>
    </w:p>
    <w:p>
      <w:pPr>
        <w:pStyle w:val="Normal"/>
        <w:numPr>
          <w:ilvl w:val="0"/>
          <w:numId w:val="3"/>
        </w:numPr>
        <w:jc w:val="both"/>
        <w:rPr/>
      </w:pPr>
      <w:r>
        <w:rPr>
          <w:b/>
          <w:i/>
        </w:rPr>
        <w:t>Bidding, scheduling and nominations</w:t>
      </w:r>
      <w:r>
        <w:rPr/>
        <w:t xml:space="preserve"> – Enron would perform all bidding, scheduling, and nomination services, drawing upon Enron’s economies of scale in this regard.</w:t>
      </w:r>
    </w:p>
    <w:p>
      <w:pPr>
        <w:pStyle w:val="Normal"/>
        <w:jc w:val="both"/>
        <w:rPr/>
      </w:pPr>
      <w:r>
        <w:rPr/>
      </w:r>
    </w:p>
    <w:p>
      <w:pPr>
        <w:pStyle w:val="Normal"/>
        <w:numPr>
          <w:ilvl w:val="0"/>
          <w:numId w:val="3"/>
        </w:numPr>
        <w:jc w:val="both"/>
        <w:rPr/>
      </w:pPr>
      <w:r>
        <w:rPr>
          <w:b/>
          <w:i/>
        </w:rPr>
        <w:t>Settlement and auditing services</w:t>
      </w:r>
      <w:r>
        <w:rPr/>
        <w:t xml:space="preserve"> – Drawing upon its unparalleled back-office functions, Enron would provide settlement and invoice auditing services (e.g., ISO invoices, etc.)</w:t>
      </w:r>
    </w:p>
    <w:p>
      <w:pPr>
        <w:pStyle w:val="Normal"/>
        <w:jc w:val="both"/>
        <w:rPr/>
      </w:pPr>
      <w:r>
        <w:rPr/>
      </w:r>
    </w:p>
    <w:p>
      <w:pPr>
        <w:pStyle w:val="Normal"/>
        <w:numPr>
          <w:ilvl w:val="0"/>
          <w:numId w:val="3"/>
        </w:numPr>
        <w:jc w:val="both"/>
        <w:rPr/>
      </w:pPr>
      <w:r>
        <w:rPr>
          <w:b/>
          <w:i/>
        </w:rPr>
        <w:t>Research/analytics</w:t>
      </w:r>
      <w:r>
        <w:rPr/>
        <w:t xml:space="preserve"> – Since effective hedging and trading require timely market information and insights, Enron’s market research and analytical functions would be made available to the partnership in support of hedging and trading strategy formulation.  This would include weather and load forecasting capabilities, marketing intelligence gathering functions, commodity structuring and transaction modeling staff/technology, and various other research/information support functions available within Enron.</w:t>
      </w:r>
    </w:p>
    <w:p>
      <w:pPr>
        <w:pStyle w:val="Normal"/>
        <w:jc w:val="both"/>
        <w:rPr/>
      </w:pPr>
      <w:r>
        <w:rPr/>
      </w:r>
    </w:p>
    <w:p>
      <w:pPr>
        <w:pStyle w:val="Normal"/>
        <w:jc w:val="both"/>
        <w:rPr/>
      </w:pPr>
      <w:r>
        <w:rPr/>
        <w:t>Under the Enron Transaction Structure, Enron’s trading, back-office, and analytical personnel, capabilities, and technology would effectively serve as an extension of NMPC’s own capabilities in these functional areas.  In fact, to the extent desired by NMPC in order to achieve its vision of becoming a “pipes and wires” company, Enron’s services in these areas could be used to virtually displace NMPC’s current resources in these functional areas to allow re-deployment to other areas central to NMPC’s core T&amp;D functions.  The Enron Transaction Structure would provide NMPC with direct access to Enron’s industry-leading capabilities and infrastructure in the above functional areas, while avoiding the exorbitant risk premium required under the Conforming Transaction Structure.</w:t>
      </w:r>
    </w:p>
    <w:p>
      <w:pPr>
        <w:pStyle w:val="Normal"/>
        <w:jc w:val="both"/>
        <w:rPr/>
      </w:pPr>
      <w:r>
        <w:rPr/>
      </w:r>
    </w:p>
    <w:p>
      <w:pPr>
        <w:pStyle w:val="Normal"/>
        <w:jc w:val="both"/>
        <w:rPr/>
      </w:pPr>
      <w:r>
        <w:rPr/>
        <w:t>Clearly, the Enron Transaction Structure requires the establishment of governance and other commercial aspects that clearly set forth the roles/responsibilities of the parties in the partnership arrangement, as well as metrics for assessing Enron’s value creation and ultimately its monetary compensation.  Following are some key parameters that would need to be established through negotiations between Enron and NMPC:</w:t>
      </w:r>
    </w:p>
    <w:p>
      <w:pPr>
        <w:pStyle w:val="Normal"/>
        <w:jc w:val="both"/>
        <w:rPr/>
      </w:pPr>
      <w:r>
        <w:rPr/>
      </w:r>
    </w:p>
    <w:p>
      <w:pPr>
        <w:pStyle w:val="Normal"/>
        <w:numPr>
          <w:ilvl w:val="0"/>
          <w:numId w:val="4"/>
        </w:numPr>
        <w:jc w:val="both"/>
        <w:rPr/>
      </w:pPr>
      <w:r>
        <w:rPr>
          <w:u w:val="single"/>
        </w:rPr>
        <w:t>Partnership Governance and Oversight</w:t>
      </w:r>
      <w:r>
        <w:rPr/>
        <w:t xml:space="preserve"> – Establishment of appropriate governance structure, including oversight and operating committees made up of NMPC and Enron personnel.  It is imperative that an appropriate level of signoff/authority be retained by NMPC to ensure it has ultimate influence on the hedging/trading actions undertaken by Enron on its behalf.</w:t>
      </w:r>
    </w:p>
    <w:p>
      <w:pPr>
        <w:pStyle w:val="Normal"/>
        <w:jc w:val="both"/>
        <w:rPr/>
      </w:pPr>
      <w:r>
        <w:rPr/>
      </w:r>
    </w:p>
    <w:p>
      <w:pPr>
        <w:pStyle w:val="Normal"/>
        <w:numPr>
          <w:ilvl w:val="0"/>
          <w:numId w:val="4"/>
        </w:numPr>
        <w:jc w:val="both"/>
        <w:rPr/>
      </w:pPr>
      <w:r>
        <w:rPr>
          <w:u w:val="single"/>
        </w:rPr>
        <w:t>Performance Measurement and Compensation</w:t>
      </w:r>
      <w:r>
        <w:rPr/>
        <w:t xml:space="preserve"> – Compensation to Enron for services provided can take on a variety of different forms, and could involve a nominal flat administrative fee for services, coupled with an incentive-based sharing arrangement relative to performance benchmarks.  The incentive-based sharing arrangement would tie the bulk of Enron’s compensation to actual value delivered, and would serve to provide strong incentives for Enron to create the most value possible for NMPC and its customers.  Central to this arrangement is the establishment of objective metrics for measurement of Enron’s performance, including “benchmarks” that must be beat before incentive payments are made to Enron.  The benchmarks can be structured to take into account specific NMPC corporate or regulatory factors (e.g., wholesale rate levels assumed in NMPC’s regulatory settlement agreements and the Joint Rate Proposal).  In fact, the benchmarks could be set at a discount from the implied swap price reflected in the conforming proposals received by NMPC, thus ensuring significant savings relative to the conforming structure before Enron enjoys sharing of savings.</w:t>
      </w:r>
    </w:p>
    <w:p>
      <w:pPr>
        <w:pStyle w:val="Normal"/>
        <w:jc w:val="both"/>
        <w:rPr>
          <w:u w:val="single"/>
        </w:rPr>
      </w:pPr>
      <w:r>
        <w:rPr>
          <w:u w:val="single"/>
        </w:rPr>
      </w:r>
    </w:p>
    <w:p>
      <w:pPr>
        <w:pStyle w:val="BodyText"/>
        <w:rPr/>
      </w:pPr>
      <w:r>
        <w:rPr/>
        <w:t>In addition to the above, various other commercial aspects would need to be negotiated (including potential on-site deployment of Enron personnel at NMPC offices, potential exit/renegotiation provisions for parties if arrangement not deemed to be successful, etc.).  Enron is prepared to elaborate on further commercial parameters through face-to-face negotiations with NMPC.</w:t>
      </w:r>
    </w:p>
    <w:p>
      <w:pPr>
        <w:pStyle w:val="Normal"/>
        <w:jc w:val="both"/>
        <w:rPr/>
      </w:pPr>
      <w:r>
        <w:rPr/>
      </w:r>
    </w:p>
    <w:p>
      <w:pPr>
        <w:pStyle w:val="Normal"/>
        <w:jc w:val="both"/>
        <w:rPr/>
      </w:pPr>
      <w:r>
        <w:rPr/>
        <w:t>Enron firmly believes that the Enron Transaction Structure presents a far superior alternative for NMPC relative to the Conforming Transaction Structure.  Below is a summary of the many advantages of the Enron Transaction Structure.</w:t>
      </w:r>
    </w:p>
    <w:p>
      <w:pPr>
        <w:pStyle w:val="Normal"/>
        <w:jc w:val="both"/>
        <w:rPr/>
      </w:pPr>
      <w:r>
        <w:rPr/>
      </w:r>
    </w:p>
    <w:p>
      <w:pPr>
        <w:pStyle w:val="Heading2"/>
        <w:ind w:hanging="0" w:start="0"/>
        <w:rPr/>
      </w:pPr>
      <w:r>
        <w:rPr/>
        <w:t>Summary of Enron Transaction Structure Key Benefits</w:t>
      </w:r>
    </w:p>
    <w:p>
      <w:pPr>
        <w:pStyle w:val="Normal"/>
        <w:jc w:val="both"/>
        <w:rPr/>
      </w:pPr>
      <w:r>
        <w:rPr/>
      </w:r>
    </w:p>
    <w:p>
      <w:pPr>
        <w:pStyle w:val="Normal"/>
        <w:numPr>
          <w:ilvl w:val="0"/>
          <w:numId w:val="5"/>
        </w:numPr>
        <w:jc w:val="both"/>
        <w:rPr/>
      </w:pPr>
      <w:r>
        <w:rPr/>
        <w:t>Represents an optimal pairing of NMPC strengths (NY market/system operating knowledge, customer base insights, etc.) with Enron’s strengths (trading, risk management/control, back-office, etc.), brought together in an incentive structure that ensures the parties’ interests are strongly aligned;</w:t>
      </w:r>
    </w:p>
    <w:p>
      <w:pPr>
        <w:pStyle w:val="Normal"/>
        <w:numPr>
          <w:ilvl w:val="0"/>
          <w:numId w:val="5"/>
        </w:numPr>
        <w:jc w:val="both"/>
        <w:rPr/>
      </w:pPr>
      <w:r>
        <w:rPr/>
        <w:t>The performance-based compensation structure ensures the “costs” incurred by NMPC for services rendered are largely contingent upon actual value delivered to NMPC customers and shareholders.   Appropriate allocation of savings to NMPC shareholders, customers, and Enron would be established in advance of the commencement of the transaction;</w:t>
      </w:r>
    </w:p>
    <w:p>
      <w:pPr>
        <w:pStyle w:val="Normal"/>
        <w:numPr>
          <w:ilvl w:val="0"/>
          <w:numId w:val="5"/>
        </w:numPr>
        <w:jc w:val="both"/>
        <w:rPr/>
      </w:pPr>
      <w:r>
        <w:rPr/>
        <w:t>Provides access to world-class hedging and risk management capabilities, while avoiding exorbitant credit and market risk premiums;</w:t>
      </w:r>
    </w:p>
    <w:p>
      <w:pPr>
        <w:pStyle w:val="Normal"/>
        <w:numPr>
          <w:ilvl w:val="0"/>
          <w:numId w:val="5"/>
        </w:numPr>
        <w:jc w:val="both"/>
        <w:rPr/>
      </w:pPr>
      <w:r>
        <w:rPr/>
        <w:t>Offers a much more cost-effective way to hedge open position than trying to transfer the massive risk position in one large transaction (as in the Conforming Transaction Structure), thus avoiding risk premiums of $1 Billion or more right from the start;</w:t>
      </w:r>
    </w:p>
    <w:p>
      <w:pPr>
        <w:pStyle w:val="Normal"/>
        <w:numPr>
          <w:ilvl w:val="0"/>
          <w:numId w:val="5"/>
        </w:numPr>
        <w:jc w:val="both"/>
        <w:rPr/>
      </w:pPr>
      <w:r>
        <w:rPr/>
        <w:t>Allows a more efficient/stealth means of hedging, thus greatly minimizing transaction costs due to market illiquidity;</w:t>
      </w:r>
    </w:p>
    <w:p>
      <w:pPr>
        <w:pStyle w:val="Normal"/>
        <w:numPr>
          <w:ilvl w:val="0"/>
          <w:numId w:val="5"/>
        </w:numPr>
        <w:jc w:val="both"/>
        <w:rPr/>
      </w:pPr>
      <w:r>
        <w:rPr/>
        <w:t>Enron is uniquely suited to provide this service – most significant power/gas trading presence, without bias/conflict of interest given Enron’s lack of physical power plant ownership (i.e., long position) in New York;</w:t>
      </w:r>
    </w:p>
    <w:p>
      <w:pPr>
        <w:pStyle w:val="Normal"/>
        <w:numPr>
          <w:ilvl w:val="0"/>
          <w:numId w:val="5"/>
        </w:numPr>
        <w:jc w:val="both"/>
        <w:rPr/>
      </w:pPr>
      <w:r>
        <w:rPr/>
        <w:t>Effectively allows NMPC to exit the commodity business through outsource of trading, hedging, and procurement functions to Enron (NMPC to retain oversight/signoff role).  In fact, the conforming structure is less successful in this regard since NMPC would still need to manage significant commodity positions post 2003 given that it will be required to purchase a fixed hourly megawatt quantity regardless of its actual load obligations. This will likely result in significant short and long positions from hour to hour that will require significant NMPC resources to manage in a prudent fashion; and</w:t>
      </w:r>
    </w:p>
    <w:p>
      <w:pPr>
        <w:pStyle w:val="Normal"/>
        <w:jc w:val="both"/>
        <w:rPr/>
      </w:pPr>
      <w:r>
        <w:rPr/>
      </w:r>
    </w:p>
    <w:p>
      <w:pPr>
        <w:pStyle w:val="Normal"/>
        <w:jc w:val="both"/>
        <w:rPr/>
      </w:pPr>
      <w:r>
        <w:rPr/>
        <w:t>We are hopeful that NMPC recognizes the clear benefits offered by the Enron Transaction Structure, and look forward to the opportunity to discuss this arrangement in further detail with NMPC management.</w:t>
      </w:r>
    </w:p>
    <w:p>
      <w:pPr>
        <w:pStyle w:val="Normal"/>
        <w:jc w:val="both"/>
        <w:rPr/>
      </w:pPr>
      <w:r>
        <w:rPr/>
      </w:r>
    </w:p>
    <w:p>
      <w:pPr>
        <w:pStyle w:val="Normal"/>
        <w:jc w:val="both"/>
        <w:rPr>
          <w:b/>
        </w:rPr>
      </w:pPr>
      <w:r>
        <w:rPr>
          <w:b/>
        </w:rPr>
        <w:t xml:space="preserve">III. </w:t>
        <w:tab/>
      </w:r>
      <w:r>
        <w:rPr>
          <w:b/>
          <w:u w:val="single"/>
        </w:rPr>
        <w:t>MPS Proposal</w:t>
      </w:r>
    </w:p>
    <w:p>
      <w:pPr>
        <w:pStyle w:val="Normal"/>
        <w:jc w:val="both"/>
        <w:rPr>
          <w:b/>
        </w:rPr>
      </w:pPr>
      <w:r>
        <w:rPr>
          <w:b/>
        </w:rPr>
      </w:r>
    </w:p>
    <w:p>
      <w:pPr>
        <w:pStyle w:val="Normal"/>
        <w:jc w:val="both"/>
        <w:rPr/>
      </w:pPr>
      <w:r>
        <w:rPr/>
        <w:t>In the MPS Proposal, Enron is proposing to provide MPS Load services.  A summary of the roles/obligations of the parties as envisioned by Enron is summarized below:</w:t>
      </w:r>
    </w:p>
    <w:p>
      <w:pPr>
        <w:pStyle w:val="Normal"/>
        <w:jc w:val="both"/>
        <w:rPr/>
      </w:pPr>
      <w:r>
        <w:rPr/>
      </w:r>
    </w:p>
    <w:p>
      <w:pPr>
        <w:pStyle w:val="Normal"/>
        <w:numPr>
          <w:ilvl w:val="0"/>
          <w:numId w:val="2"/>
        </w:numPr>
        <w:autoSpaceDE w:val="false"/>
        <w:jc w:val="both"/>
        <w:rPr/>
      </w:pPr>
      <w:r>
        <w:rPr/>
        <w:t>Enron will provide all energy NMPC requires to supply its MPS load.</w:t>
      </w:r>
    </w:p>
    <w:p>
      <w:pPr>
        <w:pStyle w:val="Normal"/>
        <w:numPr>
          <w:ilvl w:val="0"/>
          <w:numId w:val="2"/>
        </w:numPr>
        <w:autoSpaceDE w:val="false"/>
        <w:jc w:val="both"/>
        <w:rPr/>
      </w:pPr>
      <w:r>
        <w:rPr/>
        <w:t>Enron will perform all wholesale bidding, scheduling and settlement activities associated with the MPS load.</w:t>
      </w:r>
    </w:p>
    <w:p>
      <w:pPr>
        <w:pStyle w:val="Normal"/>
        <w:numPr>
          <w:ilvl w:val="0"/>
          <w:numId w:val="2"/>
        </w:numPr>
        <w:autoSpaceDE w:val="false"/>
        <w:jc w:val="both"/>
        <w:rPr/>
      </w:pPr>
      <w:r>
        <w:rPr/>
        <w:t>Enron will be responsible for performing its own load forecasting associated with this transaction; however, NMPC will be required to provide Enron with all data regarding load migration to or from MPS service, as well as all load forecasting and projections that NMPC may perform regarding MPS load requirements.</w:t>
      </w:r>
    </w:p>
    <w:p>
      <w:pPr>
        <w:pStyle w:val="Normal"/>
        <w:numPr>
          <w:ilvl w:val="0"/>
          <w:numId w:val="2"/>
        </w:numPr>
        <w:autoSpaceDE w:val="false"/>
        <w:jc w:val="both"/>
        <w:rPr/>
      </w:pPr>
      <w:r>
        <w:rPr/>
        <w:t>Enron will provide all ICAP (or UCAP) requirements and ancillary services required to meet NMPC's MPS obligations.</w:t>
      </w:r>
    </w:p>
    <w:p>
      <w:pPr>
        <w:pStyle w:val="Normal"/>
        <w:numPr>
          <w:ilvl w:val="0"/>
          <w:numId w:val="2"/>
        </w:numPr>
        <w:autoSpaceDE w:val="false"/>
        <w:jc w:val="both"/>
        <w:rPr/>
      </w:pPr>
      <w:r>
        <w:rPr/>
        <w:t>NMPC will pay Enron the NYISO DAM sub-zonal price for EHV service for all energy provided for NMPC's MPS load.</w:t>
      </w:r>
    </w:p>
    <w:p>
      <w:pPr>
        <w:pStyle w:val="Normal"/>
        <w:numPr>
          <w:ilvl w:val="0"/>
          <w:numId w:val="2"/>
        </w:numPr>
        <w:autoSpaceDE w:val="false"/>
        <w:jc w:val="both"/>
        <w:rPr/>
      </w:pPr>
      <w:r>
        <w:rPr/>
        <w:t>NMPC will pay Enron for all ancillary services provided at the NYISO market price for the ancillary services provided.</w:t>
      </w:r>
    </w:p>
    <w:p>
      <w:pPr>
        <w:pStyle w:val="Normal"/>
        <w:numPr>
          <w:ilvl w:val="0"/>
          <w:numId w:val="2"/>
        </w:numPr>
        <w:autoSpaceDE w:val="false"/>
        <w:jc w:val="both"/>
        <w:rPr/>
      </w:pPr>
      <w:r>
        <w:rPr/>
        <w:t>NMPC will pay Enron for all ICAP provided at the appropriate clearing price in the NYISO auction for the ICAP, as well as any deficiency penalties incurred by Enron due to capacity shortages in New York.  This will be replaced with the NYISO UCAP clearing prices when the NYISO converts from ICAP to UCAP.</w:t>
      </w:r>
    </w:p>
    <w:p>
      <w:pPr>
        <w:pStyle w:val="Normal"/>
        <w:numPr>
          <w:ilvl w:val="0"/>
          <w:numId w:val="2"/>
        </w:numPr>
        <w:autoSpaceDE w:val="false"/>
        <w:jc w:val="both"/>
        <w:rPr/>
      </w:pPr>
      <w:r>
        <w:rPr/>
        <w:t>NMPC will reimburse Enron for all NTAC charges incurred in providing MPS energy to NMPC.</w:t>
      </w:r>
    </w:p>
    <w:p>
      <w:pPr>
        <w:pStyle w:val="Normal"/>
        <w:numPr>
          <w:ilvl w:val="0"/>
          <w:numId w:val="2"/>
        </w:numPr>
        <w:autoSpaceDE w:val="false"/>
        <w:jc w:val="both"/>
        <w:rPr/>
      </w:pPr>
      <w:r>
        <w:rPr/>
        <w:t>NMPC will be responsible for all customer metering and billing functions, and will be required to supply relevant meter and billing data to Enron.</w:t>
      </w:r>
    </w:p>
    <w:p>
      <w:pPr>
        <w:pStyle w:val="Normal"/>
        <w:numPr>
          <w:ilvl w:val="0"/>
          <w:numId w:val="2"/>
        </w:numPr>
        <w:autoSpaceDE w:val="false"/>
        <w:jc w:val="both"/>
        <w:rPr/>
      </w:pPr>
      <w:r>
        <w:rPr/>
        <w:t>Enron will assume all balancing energy costs associated with providing MPS load, subject to further due diligence to assess the risk associated with this activity. To assist Enron in conducting additional due diligence, NMPC will provide Enron with all historical data regarding NMPC load forecast versus actual load, as well as load bid data, imbalance charges, and other data that may be required for Enron to perform this due diligence.  Following this due diligence, should Enron require any additional fees to cover the imbalance risk, Enron will notify NMPC of such additional fees.</w:t>
      </w:r>
    </w:p>
    <w:p>
      <w:pPr>
        <w:pStyle w:val="Normal"/>
        <w:jc w:val="both"/>
        <w:rPr/>
      </w:pPr>
      <w:r>
        <w:rPr/>
      </w:r>
    </w:p>
    <w:p>
      <w:pPr>
        <w:pStyle w:val="Normal"/>
        <w:jc w:val="both"/>
        <w:rPr/>
      </w:pPr>
      <w:r>
        <w:rPr/>
        <w:t>Enron’s proposed compensation for providing these services is in the form of a flat administrative fee of $0.25/MWh applied to the actual settlement amount of MPS Load, with a minimum annual charge of $600,000.  The per-unit fee structure proposed by Enron offers NMPC the ability to enjoy reduced fees in the event that MPS Load diminishes over time, as opposed to a fixed fee structure that has no relation to the actual amount of load for which MPS Load services are being provided.  These proposed charges are reflected in the standard bid response form, which is included as Attachment 2 to this proposal. In addition, NMPC and Enron would need to negotiate acceptable credit terms governing Enron’s provision of MPS Load services.</w:t>
      </w:r>
    </w:p>
    <w:p>
      <w:pPr>
        <w:pStyle w:val="BodyText"/>
        <w:rPr>
          <w:color w:val="FF0000"/>
        </w:rPr>
      </w:pPr>
      <w:r>
        <w:rPr>
          <w:color w:val="FF0000"/>
        </w:rPr>
      </w:r>
    </w:p>
    <w:p>
      <w:pPr>
        <w:pStyle w:val="BodyText"/>
        <w:rPr/>
      </w:pPr>
      <w:r>
        <w:rPr/>
        <w:t>Enron appreciates the opportunity to submit the Conforming Transaction Structure proposal, Enron Transaction Structure proposal, and MPS Proposal as detailed in this letter.   Each of these proposals is for discussion purposes only and subject to additional due diligence by Enron.  At this time, Enron is continuing a review of the proposed Transaction Documents, and as such, we have not included a markup of the Transaction Documents with our proposal.  However, if NMPC elects not to pursue the Enron Transaction Structure and instead decides to pursue the Conforming Transaction Structure, we would be able to produce a comprehensive markup of these documents with a quick turnaround for NMPC’s review.</w:t>
      </w:r>
    </w:p>
    <w:p>
      <w:pPr>
        <w:pStyle w:val="BodyText"/>
        <w:rPr/>
      </w:pPr>
      <w:r>
        <w:rPr/>
      </w:r>
    </w:p>
    <w:p>
      <w:pPr>
        <w:pStyle w:val="BodyText"/>
        <w:rPr/>
      </w:pPr>
      <w:r>
        <w:rPr/>
        <w:t>Again, Enron appreciates the opportunity to submit this proposal to meet NMPC’s needs.  Please do not hesitate to contact me should you wish to discuss any aspect of our proposal.  My complete contact information is provided below.</w:t>
      </w:r>
    </w:p>
    <w:p>
      <w:pPr>
        <w:pStyle w:val="BodyText"/>
        <w:rPr/>
      </w:pPr>
      <w:r>
        <w:rPr/>
      </w:r>
    </w:p>
    <w:p>
      <w:pPr>
        <w:pStyle w:val="BodyText"/>
        <w:rPr/>
      </w:pPr>
      <w:r>
        <w:rPr/>
      </w:r>
    </w:p>
    <w:p>
      <w:pPr>
        <w:pStyle w:val="BodyText"/>
        <w:rPr/>
      </w:pPr>
      <w:r>
        <w:rPr/>
        <w:tab/>
        <w:t>John Llodra</w:t>
      </w:r>
    </w:p>
    <w:p>
      <w:pPr>
        <w:pStyle w:val="BodyText"/>
        <w:rPr/>
      </w:pPr>
      <w:r>
        <w:rPr/>
        <w:tab/>
        <w:t>Director, East Power Origination</w:t>
      </w:r>
    </w:p>
    <w:p>
      <w:pPr>
        <w:pStyle w:val="BodyText"/>
        <w:rPr/>
      </w:pPr>
      <w:r>
        <w:rPr/>
        <w:tab/>
        <w:t>Enron Americas</w:t>
      </w:r>
    </w:p>
    <w:p>
      <w:pPr>
        <w:pStyle w:val="BodyText"/>
        <w:rPr/>
      </w:pPr>
      <w:r>
        <w:rPr/>
        <w:tab/>
        <w:t>82 Smith Street</w:t>
      </w:r>
    </w:p>
    <w:p>
      <w:pPr>
        <w:pStyle w:val="BodyText"/>
        <w:rPr/>
      </w:pPr>
      <w:r>
        <w:rPr/>
        <w:tab/>
        <w:t>Groton, MA  01450</w:t>
      </w:r>
    </w:p>
    <w:p>
      <w:pPr>
        <w:pStyle w:val="BodyText"/>
        <w:rPr/>
      </w:pPr>
      <w:r>
        <w:rPr/>
        <w:tab/>
        <w:t>Phone:</w:t>
        <w:tab/>
        <w:t>978-449-9936</w:t>
        <w:tab/>
        <w:t>Cell:  978-314-5614</w:t>
        <w:tab/>
        <w:t>Pager:  877-246-3206</w:t>
      </w:r>
    </w:p>
    <w:p>
      <w:pPr>
        <w:pStyle w:val="BodyText"/>
        <w:rPr/>
      </w:pPr>
      <w:r>
        <w:rPr/>
        <w:tab/>
        <w:t>Fax:</w:t>
        <w:tab/>
        <w:t>978-449-9937</w:t>
        <w:tab/>
        <w:t>Home:  978-448-9260</w:t>
      </w:r>
    </w:p>
    <w:p>
      <w:pPr>
        <w:pStyle w:val="BodyText"/>
        <w:rPr/>
      </w:pPr>
      <w:r>
        <w:rPr/>
      </w:r>
    </w:p>
    <w:p>
      <w:pPr>
        <w:pStyle w:val="BodyText"/>
        <w:rPr/>
      </w:pPr>
      <w:r>
        <w:rPr/>
        <w:t>Commencing with this date, I will serve as the designated Enron contact for all communications regarding this proposal.  I look forward to speaking with you soon regarding our proposal.</w:t>
      </w:r>
    </w:p>
    <w:p>
      <w:pPr>
        <w:pStyle w:val="BodyText"/>
        <w:rPr/>
      </w:pPr>
      <w:r>
        <w:rPr/>
      </w:r>
    </w:p>
    <w:p>
      <w:pPr>
        <w:pStyle w:val="BodyText"/>
        <w:rPr/>
      </w:pPr>
      <w:r>
        <w:rPr/>
        <w:t>Best regards,</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t>John Llodra</w:t>
      </w:r>
    </w:p>
    <w:p>
      <w:pPr>
        <w:pStyle w:val="BodyText"/>
        <w:rPr/>
      </w:pPr>
      <w:r>
        <w:rPr/>
        <w:t>Director, East Power Origination</w:t>
      </w:r>
    </w:p>
    <w:p>
      <w:pPr>
        <w:pStyle w:val="BodyText"/>
        <w:rPr/>
      </w:pPr>
      <w:r>
        <w:rPr/>
      </w:r>
    </w:p>
    <w:p>
      <w:pPr>
        <w:pStyle w:val="BodyText2"/>
        <w:rPr/>
      </w:pPr>
      <w:r>
        <w:rPr/>
      </w:r>
    </w:p>
    <w:p>
      <w:pPr>
        <w:pStyle w:val="BodyTextIndent"/>
        <w:jc w:val="both"/>
        <w:rPr>
          <w:sz w:val="22"/>
        </w:rPr>
      </w:pPr>
      <w:r>
        <w:rPr>
          <w:sz w:val="22"/>
        </w:rPr>
        <w:t xml:space="preserve">       </w:t>
      </w:r>
      <w:r>
        <w:rPr>
          <w:sz w:val="22"/>
        </w:rPr>
        <w:t xml:space="preserve">All information submitted by Enron herein is prepared solely to facilitate discussions between NMPC and Enron, is confidential and should not be shown to or discussed with any third party, other than NMPC’s regulators and advisor, Navigant Consulting, Inc. (“NCI”).  The information submitted herein is not, or intended to be, a binding commitment on the part of, or an offer by Enron to negotiate or consummate any transaction on the terms set out or otherwise. No binding agreements will arise until NMPC and Enron have conducted satisfactory due diligence and signed mutually acceptable definitive agreements, containing mutually agreeable representations, warranties and other customary provisions, including, but not limited to, those relating to tax, credit, limitation of damages and remedies. This letter and the attached information does not create and is not intended to create a binding and enforceable contract between NMPC and Enron or a duty on the part of either to negotiate in good faith toward a binding contract with respect to any transaction and may not be relied upon by either NMPC or Enron as the basis for a contract by estoppel or otherwise. </w:t>
      </w:r>
    </w:p>
    <w:p>
      <w:pPr>
        <w:pStyle w:val="BodyTextIndent"/>
        <w:ind w:hanging="0" w:end="0"/>
        <w:jc w:val="both"/>
        <w:rPr>
          <w:sz w:val="22"/>
        </w:rPr>
      </w:pPr>
      <w:r>
        <w:rPr>
          <w:sz w:val="22"/>
        </w:rPr>
      </w:r>
    </w:p>
    <w:p>
      <w:pPr>
        <w:pStyle w:val="BodyTextIndent"/>
        <w:ind w:hanging="0" w:end="0"/>
        <w:jc w:val="both"/>
        <w:rPr>
          <w:color w:val="000000"/>
          <w:sz w:val="22"/>
        </w:rPr>
      </w:pPr>
      <w:r>
        <w:rPr>
          <w:color w:val="000000"/>
          <w:sz w:val="22"/>
        </w:rPr>
        <w:t>Enron has submitted the Enron Transaction Structure, which Enron considers proprietary to Enron. The Enron Transaction Structure is submitted on the basis that NMPC, NCI, and NMPC’s regulators will keep the same confidential and will not discuss, publish or otherwise reveal any details of the same to any third party, without the prior written consent of Enron. In the event that NMPC, NCI, or NMPC’s regulators fail to keep the details of the Enron Transaction Structure confidential in accordance with the above, Enron may, in addition to any other remedies at law, immediately withdraw any proposal it has submitted to NMPC for its consideration.</w:t>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rPr>
      <w:t>CONFIDENTIAL</w:t>
    </w:r>
    <w:r>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7</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jc w:val="both"/>
      <w:outlineLvl w:val="0"/>
    </w:pPr>
    <w:rPr>
      <w:b/>
    </w:rPr>
  </w:style>
  <w:style w:type="paragraph" w:styleId="Heading2">
    <w:name w:val="heading 2"/>
    <w:basedOn w:val="Normal"/>
    <w:next w:val="Normal"/>
    <w:qFormat/>
    <w:pPr>
      <w:keepNext w:val="true"/>
      <w:numPr>
        <w:ilvl w:val="1"/>
        <w:numId w:val="1"/>
      </w:numPr>
      <w:jc w:val="both"/>
      <w:outlineLvl w:val="1"/>
    </w:pPr>
    <w:rPr>
      <w:b/>
      <w:i/>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i/>
    </w:rPr>
  </w:style>
  <w:style w:type="paragraph" w:styleId="BodyTextIndent">
    <w:name w:val="Body Text Indent"/>
    <w:basedOn w:val="Normal"/>
    <w:pPr>
      <w:tabs>
        <w:tab w:val="clear" w:pos="720"/>
        <w:tab w:val="left" w:pos="360" w:leader="none"/>
      </w:tabs>
      <w:ind w:hanging="360" w:start="360" w:end="0"/>
    </w:pPr>
    <w:rPr>
      <w:b/>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jc w:val="both"/>
    </w:pPr>
    <w:rPr>
      <w:color w:val="FF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2001-05-07T18:13:00Z</dcterms:created>
  <dc:creator>jllodra</dc:creator>
  <dc:description/>
  <dc:language>en-CA</dc:language>
  <cp:lastModifiedBy>logistics</cp:lastModifiedBy>
  <cp:lastPrinted>2001-05-08T10:29:00Z</cp:lastPrinted>
  <dcterms:modified xsi:type="dcterms:W3CDTF">2001-05-08T13:07:00Z</dcterms:modified>
  <cp:revision>22</cp:revision>
  <dc:subject/>
  <dc:title>February 22, 2001</dc:title>
</cp:coreProperties>
</file>