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1"/>
        <w:ind w:hanging="0" w:start="0"/>
        <w:rPr/>
      </w:pPr>
      <w:r>
        <w:rPr/>
      </w:r>
    </w:p>
    <w:p>
      <w:pPr>
        <w:pStyle w:val="Heading1"/>
        <w:ind w:hanging="0" w:start="0"/>
        <w:rPr/>
      </w:pPr>
      <w:r>
        <w:rPr/>
        <w:t>CONFIDENTIAL</w:t>
      </w:r>
    </w:p>
    <w:p>
      <w:pPr>
        <w:pStyle w:val="Normal"/>
        <w:jc w:val="both"/>
        <w:rPr/>
      </w:pPr>
      <w:r>
        <w:rPr/>
      </w:r>
    </w:p>
    <w:p>
      <w:pPr>
        <w:pStyle w:val="Normal"/>
        <w:jc w:val="both"/>
        <w:rPr/>
      </w:pPr>
      <w:r>
        <w:rPr/>
      </w:r>
    </w:p>
    <w:p>
      <w:pPr>
        <w:pStyle w:val="Normal"/>
        <w:jc w:val="both"/>
        <w:rPr/>
      </w:pPr>
      <w:r>
        <w:rPr/>
      </w:r>
    </w:p>
    <w:p>
      <w:pPr>
        <w:pStyle w:val="Normal"/>
        <w:jc w:val="both"/>
        <w:rPr/>
      </w:pPr>
      <w:r>
        <w:rPr/>
        <w:t>May 8, 2001</w:t>
      </w:r>
    </w:p>
    <w:p>
      <w:pPr>
        <w:pStyle w:val="Normal"/>
        <w:jc w:val="both"/>
        <w:rPr/>
      </w:pPr>
      <w:r>
        <w:rPr/>
      </w:r>
    </w:p>
    <w:p>
      <w:pPr>
        <w:pStyle w:val="Normal"/>
        <w:jc w:val="both"/>
        <w:rPr/>
      </w:pPr>
      <w:r>
        <w:rPr/>
        <w:t>Niagara Mohawk Power Corporation</w:t>
      </w:r>
    </w:p>
    <w:p>
      <w:pPr>
        <w:pStyle w:val="Normal"/>
        <w:jc w:val="both"/>
        <w:rPr/>
      </w:pPr>
      <w:r>
        <w:rPr/>
        <w:t>c/o Navigant Consulting, Inc.</w:t>
      </w:r>
    </w:p>
    <w:p>
      <w:pPr>
        <w:pStyle w:val="Normal"/>
        <w:jc w:val="both"/>
        <w:rPr/>
      </w:pPr>
      <w:r>
        <w:rPr/>
        <w:t>200 Wheeler Road, 4</w:t>
      </w:r>
      <w:r>
        <w:rPr>
          <w:vertAlign w:val="superscript"/>
        </w:rPr>
        <w:t>th</w:t>
      </w:r>
      <w:r>
        <w:rPr/>
        <w:t xml:space="preserve"> floor</w:t>
      </w:r>
    </w:p>
    <w:p>
      <w:pPr>
        <w:pStyle w:val="Normal"/>
        <w:jc w:val="both"/>
        <w:rPr/>
      </w:pPr>
      <w:r>
        <w:rPr/>
        <w:t>Burlington, MA  01803</w:t>
      </w:r>
    </w:p>
    <w:p>
      <w:pPr>
        <w:pStyle w:val="Normal"/>
        <w:jc w:val="both"/>
        <w:rPr/>
      </w:pPr>
      <w:r>
        <w:rPr/>
      </w:r>
    </w:p>
    <w:p>
      <w:pPr>
        <w:pStyle w:val="Normal"/>
        <w:jc w:val="both"/>
        <w:rPr/>
      </w:pPr>
      <w:r>
        <w:rPr/>
        <w:t>Attention:  Lisa Quilici</w:t>
      </w:r>
    </w:p>
    <w:p>
      <w:pPr>
        <w:pStyle w:val="Normal"/>
        <w:jc w:val="both"/>
        <w:rPr/>
      </w:pPr>
      <w:r>
        <w:rPr/>
      </w:r>
    </w:p>
    <w:p>
      <w:pPr>
        <w:pStyle w:val="Heading1"/>
        <w:ind w:hanging="0" w:start="0"/>
        <w:rPr/>
      </w:pPr>
      <w:r>
        <w:rPr/>
        <w:t>Via Electronic and Overnight Mail</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Enron Power Marketing, Inc. (“Enron”) is pleased to submit for your consideration this proposal in response to Niagara Mohawk Power Corporation’s (“NMPC”) Solicitation for (1) the Management of Supply Contracts and Power Supply for Standard Offer Service (“SOS”) Load, and (2) Power Supply for Market Price Service (“MPS”) Load.</w:t>
      </w:r>
    </w:p>
    <w:p>
      <w:pPr>
        <w:pStyle w:val="Normal"/>
        <w:jc w:val="both"/>
        <w:rPr/>
      </w:pPr>
      <w:r>
        <w:rPr/>
      </w:r>
    </w:p>
    <w:p>
      <w:pPr>
        <w:pStyle w:val="Normal"/>
        <w:jc w:val="both"/>
        <w:rPr/>
      </w:pPr>
      <w:r>
        <w:rPr/>
        <w:t>As detailed herein, Enron is presenting a proposal for the Management of Supply Contracts and Power Supply for SOS Load that conforms in structure to Bid Option 1b.  This proposal structure is hereinafter referred to as the “Conforming Transaction Structure.”</w:t>
      </w:r>
    </w:p>
    <w:p>
      <w:pPr>
        <w:pStyle w:val="Normal"/>
        <w:jc w:val="both"/>
        <w:rPr/>
      </w:pPr>
      <w:r>
        <w:rPr/>
      </w:r>
    </w:p>
    <w:p>
      <w:pPr>
        <w:pStyle w:val="Normal"/>
        <w:jc w:val="both"/>
        <w:rPr/>
      </w:pPr>
      <w:r>
        <w:rPr/>
        <w:t>In addition to the Conforming Transaction Structure, Enron is presenting an alternative, non-conforming proposal which we believe offers a significantly more prudent and cost-effective approach for NMPC to achieve its objectives consistent with its corporate vision and regulatory settlement agreements.  This proposal structure, which Enron considers proprietary, is hereinafter referred to as the “Enron Transaction Structure.”</w:t>
      </w:r>
    </w:p>
    <w:p>
      <w:pPr>
        <w:pStyle w:val="Normal"/>
        <w:jc w:val="both"/>
        <w:rPr/>
      </w:pPr>
      <w:r>
        <w:rPr/>
      </w:r>
    </w:p>
    <w:p>
      <w:pPr>
        <w:pStyle w:val="Normal"/>
        <w:jc w:val="both"/>
        <w:rPr/>
      </w:pPr>
      <w:r>
        <w:rPr/>
        <w:t>Finally, Enron is presenting a proposal for Power Supply for MPS Load in accordance with the structure outlined in NMPC’s Solicitation, hereinafter referred to as the “MPS Proposal.”</w:t>
      </w:r>
    </w:p>
    <w:p>
      <w:pPr>
        <w:pStyle w:val="Normal"/>
        <w:jc w:val="both"/>
        <w:rPr/>
      </w:pPr>
      <w:r>
        <w:rPr/>
      </w:r>
    </w:p>
    <w:p>
      <w:pPr>
        <w:pStyle w:val="Normal"/>
        <w:jc w:val="both"/>
        <w:rPr/>
      </w:pPr>
      <w:r>
        <w:rPr/>
        <w:t>Importantly, all information submitted in this proposal is prepared solely to facilitate discussions between NMPC and Enron, and is not, or intended to be, a binding commitment on the part of Enron.</w:t>
      </w:r>
    </w:p>
    <w:p>
      <w:pPr>
        <w:pStyle w:val="Normal"/>
        <w:jc w:val="both"/>
        <w:rPr/>
      </w:pPr>
      <w:r>
        <w:rPr/>
      </w:r>
    </w:p>
    <w:p>
      <w:pPr>
        <w:pStyle w:val="Normal"/>
        <w:jc w:val="both"/>
        <w:rPr/>
      </w:pPr>
      <w:r>
        <w:rPr/>
        <w:t>The Conforming Transaction Structure, Enron Transaction Structure, and the MPS Proposal are discussed in more detail in the sections that follow.</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I. </w:t>
        <w:tab/>
      </w:r>
      <w:r>
        <w:rPr>
          <w:b/>
          <w:u w:val="single"/>
        </w:rPr>
        <w:t>Conforming Transaction Structure</w:t>
      </w:r>
    </w:p>
    <w:p>
      <w:pPr>
        <w:pStyle w:val="Normal"/>
        <w:jc w:val="both"/>
        <w:rPr>
          <w:b/>
        </w:rPr>
      </w:pPr>
      <w:r>
        <w:rPr>
          <w:b/>
        </w:rPr>
      </w:r>
    </w:p>
    <w:p>
      <w:pPr>
        <w:pStyle w:val="Normal"/>
        <w:jc w:val="both"/>
        <w:rPr/>
      </w:pPr>
      <w:r>
        <w:rPr/>
        <w:t>In the Conforming Transaction Structure, Enron is proposing to assume management of NMPC’s power supply portfolio (including its TCCs) and to provide power to meet NMPC’s SOS load requirements in accordance with Bid Option 1b.   Our evaluation of this structure results in a need for NMPC to make substantial payments to Enron.  These payments are needed to compensate Enron for the significant out-of-market costs of the aggregate supply portfolio and the SOS load positions, as well as to cover the considerable market risk and credit premiums required for an all-encompassing transaction of this nature and size.  The indicative payments that Enron would require from NMPC are presented on the standard bid response form, which is included as Attachment 1 to this proposal.</w:t>
      </w:r>
    </w:p>
    <w:p>
      <w:pPr>
        <w:pStyle w:val="Normal"/>
        <w:jc w:val="both"/>
        <w:rPr/>
      </w:pPr>
      <w:r>
        <w:rPr/>
      </w:r>
    </w:p>
    <w:p>
      <w:pPr>
        <w:pStyle w:val="Normal"/>
        <w:jc w:val="both"/>
        <w:rPr/>
      </w:pPr>
      <w:r>
        <w:rPr/>
        <w:t>While the bulk of the payments required of NMPC are a reflection of the severely out-of-market nature of the supply and SOS load positions, a significant portion of these payments are attributable to the large risk premium associated with a transaction of this size.  The primary risk components for which this premium must be charged include, but are not limited to: (1) market liquidity risk – covering and liquidating a position of the magnitude and duration contemplated in the Solicitation in the New York market incurs very high transaction costs;  (2) NMPC credit risk – the magnitude of the required payments of NMPC far exceed the credit support available from conventional arrangements, thus requiring highly tailored credit/collateral arrangements and a significant price premium; and (3) Supply contract operational/production risks – associated with the various supply arrangements in the NMPC portfolio.</w:t>
      </w:r>
    </w:p>
    <w:p>
      <w:pPr>
        <w:pStyle w:val="Normal"/>
        <w:jc w:val="both"/>
        <w:rPr/>
      </w:pPr>
      <w:r>
        <w:rPr/>
      </w:r>
    </w:p>
    <w:p>
      <w:pPr>
        <w:pStyle w:val="Normal"/>
        <w:jc w:val="both"/>
        <w:rPr/>
      </w:pPr>
      <w:r>
        <w:rPr/>
        <w:t>The magnitude of each of these risks takes on a non-linear growth relative to the overall size of the position.  As such, a smaller transaction of the same or similar structure may offer the opportunity to significantly reduce the required risk premium.   Therefore, in addition to a conforming structure that contemplates Enron assuming 100% of the supply portfolio and SOS Lad, we have presented alternative indicative proposals assuming Enron assumes either [15%] or [50%] of the supply/SOS Load portfolio with greatly reduced risk premiums from the 100% baseline scenario.  The required payments by NMPC to Enron on these variations are presented on the standard bid response forms also included in Attachment I to this proposal.  While a “slice of portfolio” would address only a portion of NMPC’s overall needs, such a structure could be coupled with an alternative, non-conforming approach – such as the Enron Transaction Structure discussed in the next section – that targets the balance of the NMPC supply portfolio and SOS Load obligations.  Indeed, a coupling of these alternative approaches could represent an overall more cost-effective and prudent approach to achieving NMPC’s objectives than the transaction contemplated in NMPC’s Solicitation.</w:t>
      </w:r>
    </w:p>
    <w:p>
      <w:pPr>
        <w:pStyle w:val="Normal"/>
        <w:jc w:val="both"/>
        <w:rPr/>
      </w:pPr>
      <w:r>
        <w:rPr/>
      </w:r>
    </w:p>
    <w:p>
      <w:pPr>
        <w:pStyle w:val="Normal"/>
        <w:jc w:val="both"/>
        <w:rPr>
          <w:b/>
        </w:rPr>
      </w:pPr>
      <w:r>
        <w:rPr>
          <w:b/>
        </w:rPr>
        <w:t xml:space="preserve">II. </w:t>
        <w:tab/>
      </w:r>
      <w:r>
        <w:rPr>
          <w:b/>
          <w:u w:val="single"/>
        </w:rPr>
        <w:t>Enron Transaction Structure</w:t>
      </w:r>
    </w:p>
    <w:p>
      <w:pPr>
        <w:pStyle w:val="Normal"/>
        <w:jc w:val="both"/>
        <w:rPr>
          <w:b/>
        </w:rPr>
      </w:pPr>
      <w:r>
        <w:rPr>
          <w:b/>
        </w:rPr>
      </w:r>
    </w:p>
    <w:p>
      <w:pPr>
        <w:pStyle w:val="Normal"/>
        <w:jc w:val="both"/>
        <w:rPr/>
      </w:pPr>
      <w:r>
        <w:rPr/>
        <w:t>[Need to work following concepts into refined proposal language]</w:t>
      </w:r>
    </w:p>
    <w:p>
      <w:pPr>
        <w:pStyle w:val="Normal"/>
        <w:jc w:val="both"/>
        <w:rPr/>
      </w:pPr>
      <w:r>
        <w:rPr/>
      </w:r>
    </w:p>
    <w:p>
      <w:pPr>
        <w:pStyle w:val="Normal"/>
        <w:jc w:val="both"/>
        <w:rPr/>
      </w:pPr>
      <w:r>
        <w:rPr/>
        <w:t>This structure will entail a services/portfolio management in which Enron, working in a collaborative fashion with NMPC, performs/facilitates the following functions:</w:t>
      </w:r>
    </w:p>
    <w:p>
      <w:pPr>
        <w:pStyle w:val="Normal"/>
        <w:jc w:val="both"/>
        <w:rPr/>
      </w:pPr>
      <w:r>
        <w:rPr/>
        <w:t xml:space="preserve"> </w:t>
      </w:r>
    </w:p>
    <w:p>
      <w:pPr>
        <w:pStyle w:val="Normal"/>
        <w:numPr>
          <w:ilvl w:val="0"/>
          <w:numId w:val="3"/>
        </w:numPr>
        <w:jc w:val="both"/>
        <w:rPr/>
      </w:pPr>
      <w:r>
        <w:rPr/>
        <w:t>Power trading – forward and short-term markets;  focus on dynamic position management rather than static hedging</w:t>
      </w:r>
    </w:p>
    <w:p>
      <w:pPr>
        <w:pStyle w:val="Normal"/>
        <w:numPr>
          <w:ilvl w:val="0"/>
          <w:numId w:val="3"/>
        </w:numPr>
        <w:jc w:val="both"/>
        <w:rPr/>
      </w:pPr>
      <w:r>
        <w:rPr/>
        <w:t>Hedging strategy formulation and execution</w:t>
      </w:r>
    </w:p>
    <w:p>
      <w:pPr>
        <w:pStyle w:val="Normal"/>
        <w:numPr>
          <w:ilvl w:val="0"/>
          <w:numId w:val="3"/>
        </w:numPr>
        <w:jc w:val="both"/>
        <w:rPr/>
      </w:pPr>
      <w:r>
        <w:rPr/>
        <w:t>Risk assessment/reporting</w:t>
      </w:r>
    </w:p>
    <w:p>
      <w:pPr>
        <w:pStyle w:val="Normal"/>
        <w:numPr>
          <w:ilvl w:val="0"/>
          <w:numId w:val="3"/>
        </w:numPr>
        <w:jc w:val="both"/>
        <w:rPr/>
      </w:pPr>
      <w:r>
        <w:rPr/>
        <w:t>Asset optimization and management of embedded commodity positions (e.g., gas positions in the swap agreements indexed to gas pricing)</w:t>
      </w:r>
    </w:p>
    <w:p>
      <w:pPr>
        <w:pStyle w:val="Normal"/>
        <w:numPr>
          <w:ilvl w:val="0"/>
          <w:numId w:val="3"/>
        </w:numPr>
        <w:jc w:val="both"/>
        <w:rPr/>
      </w:pPr>
      <w:r>
        <w:rPr/>
        <w:t>Market intelligence (e.g., plant outagesl, etc.)</w:t>
      </w:r>
    </w:p>
    <w:p>
      <w:pPr>
        <w:pStyle w:val="Normal"/>
        <w:numPr>
          <w:ilvl w:val="0"/>
          <w:numId w:val="3"/>
        </w:numPr>
        <w:jc w:val="both"/>
        <w:rPr/>
      </w:pPr>
      <w:r>
        <w:rPr/>
        <w:t>Bidding, scheduling and nominations</w:t>
      </w:r>
    </w:p>
    <w:p>
      <w:pPr>
        <w:pStyle w:val="Normal"/>
        <w:numPr>
          <w:ilvl w:val="0"/>
          <w:numId w:val="3"/>
        </w:numPr>
        <w:jc w:val="both"/>
        <w:rPr/>
      </w:pPr>
      <w:r>
        <w:rPr/>
        <w:t>Settlement and auditing services  (ISO invoices, etc.)</w:t>
      </w:r>
    </w:p>
    <w:p>
      <w:pPr>
        <w:pStyle w:val="Normal"/>
        <w:numPr>
          <w:ilvl w:val="0"/>
          <w:numId w:val="3"/>
        </w:numPr>
        <w:jc w:val="both"/>
        <w:rPr/>
      </w:pPr>
      <w:r>
        <w:rPr/>
        <w:t>Research/analytics in support of hedging strategy formulation</w:t>
      </w:r>
    </w:p>
    <w:p>
      <w:pPr>
        <w:pStyle w:val="Normal"/>
        <w:jc w:val="both"/>
        <w:rPr/>
      </w:pPr>
      <w:r>
        <w:rPr/>
      </w:r>
    </w:p>
    <w:p>
      <w:pPr>
        <w:pStyle w:val="Heading2"/>
        <w:ind w:hanging="0" w:start="0"/>
        <w:rPr/>
      </w:pPr>
      <w:r>
        <w:rPr/>
        <w:t>Commercial structure of arrangement</w:t>
      </w:r>
    </w:p>
    <w:p>
      <w:pPr>
        <w:pStyle w:val="Normal"/>
        <w:jc w:val="both"/>
        <w:rPr/>
      </w:pPr>
      <w:r>
        <w:rPr/>
      </w:r>
    </w:p>
    <w:p>
      <w:pPr>
        <w:pStyle w:val="Normal"/>
        <w:numPr>
          <w:ilvl w:val="0"/>
          <w:numId w:val="4"/>
        </w:numPr>
        <w:jc w:val="both"/>
        <w:rPr/>
      </w:pPr>
      <w:r>
        <w:rPr/>
        <w:t>Payment:  may involve nominal cost plus administrative expense, coupled with incentive-based revenue sharing arrangement relative to performance benchmarks (we share in &gt; % of savings as savings relative to benchmark increases)</w:t>
      </w:r>
    </w:p>
    <w:p>
      <w:pPr>
        <w:pStyle w:val="Normal"/>
        <w:numPr>
          <w:ilvl w:val="0"/>
          <w:numId w:val="4"/>
        </w:numPr>
        <w:jc w:val="both"/>
        <w:rPr/>
      </w:pPr>
      <w:r>
        <w:rPr/>
        <w:t>Establishment of appropriate governance structure/committees made up of NMPC and Enron personnel with appropriate level of signoff/authority held by NMPC given they will retain risks</w:t>
      </w:r>
    </w:p>
    <w:p>
      <w:pPr>
        <w:pStyle w:val="Normal"/>
        <w:numPr>
          <w:ilvl w:val="0"/>
          <w:numId w:val="4"/>
        </w:numPr>
        <w:jc w:val="both"/>
        <w:rPr/>
      </w:pPr>
      <w:r>
        <w:rPr/>
        <w:t>Could involve on-site Enron personnel at NMPC offices</w:t>
      </w:r>
    </w:p>
    <w:p>
      <w:pPr>
        <w:pStyle w:val="Normal"/>
        <w:numPr>
          <w:ilvl w:val="0"/>
          <w:numId w:val="4"/>
        </w:numPr>
        <w:jc w:val="both"/>
        <w:rPr/>
      </w:pPr>
      <w:r>
        <w:rPr/>
        <w:t>Can include exit provisions for NMPC (and Enron) if arrangement not deemed to be successful</w:t>
      </w:r>
    </w:p>
    <w:p>
      <w:pPr>
        <w:pStyle w:val="Normal"/>
        <w:jc w:val="both"/>
        <w:rPr/>
      </w:pPr>
      <w:r>
        <w:rPr/>
      </w:r>
    </w:p>
    <w:p>
      <w:pPr>
        <w:pStyle w:val="Normal"/>
        <w:jc w:val="both"/>
        <w:rPr/>
      </w:pPr>
      <w:r>
        <w:rPr/>
      </w:r>
    </w:p>
    <w:p>
      <w:pPr>
        <w:pStyle w:val="Normal"/>
        <w:jc w:val="both"/>
        <w:rPr>
          <w:b/>
          <w:i/>
          <w:i/>
        </w:rPr>
      </w:pPr>
      <w:r>
        <w:rPr>
          <w:b/>
          <w:i/>
        </w:rPr>
        <w:t>Key selling points:</w:t>
      </w:r>
    </w:p>
    <w:p>
      <w:pPr>
        <w:pStyle w:val="Normal"/>
        <w:jc w:val="both"/>
        <w:rPr>
          <w:b/>
          <w:i/>
          <w:i/>
        </w:rPr>
      </w:pPr>
      <w:r>
        <w:rPr>
          <w:b/>
          <w:i/>
        </w:rPr>
      </w:r>
    </w:p>
    <w:p>
      <w:pPr>
        <w:pStyle w:val="Normal"/>
        <w:numPr>
          <w:ilvl w:val="0"/>
          <w:numId w:val="6"/>
        </w:numPr>
        <w:jc w:val="both"/>
        <w:rPr/>
      </w:pPr>
      <w:r>
        <w:rPr/>
        <w:t>Represents an optimal pairing of NMPC strengths (NY market/system operating knowledge, customer base insights, etc.) with Enron’s strengths, brought together in an incentive structure that ensures interests are strongly aligned.</w:t>
      </w:r>
    </w:p>
    <w:p>
      <w:pPr>
        <w:pStyle w:val="Normal"/>
        <w:numPr>
          <w:ilvl w:val="0"/>
          <w:numId w:val="6"/>
        </w:numPr>
        <w:jc w:val="both"/>
        <w:rPr/>
      </w:pPr>
      <w:r>
        <w:rPr/>
        <w:t>Can eliminate large credit and market risk premium – all portfolio and hedge risks remain with NMPC.   This is most efficient allocation of these risks since NMPC’s regulatory arrangements effectively allow them to pass actual power supply costs onto customers (internal regulatory hedge)</w:t>
      </w:r>
    </w:p>
    <w:p>
      <w:pPr>
        <w:pStyle w:val="Normal"/>
        <w:numPr>
          <w:ilvl w:val="0"/>
          <w:numId w:val="6"/>
        </w:numPr>
        <w:jc w:val="both"/>
        <w:rPr/>
      </w:pPr>
      <w:r>
        <w:rPr/>
        <w:t>More cost-effective way to put hedges on than trying to transfer the massive risk position in one shot; can avoid risk premium of upwards of $1B or more right out of the gates.  Benchmark could be set at significant discount from the implied swap price from conforming proposals received, ensuring this structure results in significant savings relative to conforming structure before we start to enjoy sharing of savings</w:t>
      </w:r>
    </w:p>
    <w:p>
      <w:pPr>
        <w:pStyle w:val="Normal"/>
        <w:numPr>
          <w:ilvl w:val="0"/>
          <w:numId w:val="6"/>
        </w:numPr>
        <w:jc w:val="both"/>
        <w:rPr/>
      </w:pPr>
      <w:r>
        <w:rPr/>
        <w:t>More efficient/stealth means of hedging, thus greatly minimizing transaction costs</w:t>
      </w:r>
    </w:p>
    <w:p>
      <w:pPr>
        <w:pStyle w:val="Normal"/>
        <w:numPr>
          <w:ilvl w:val="0"/>
          <w:numId w:val="6"/>
        </w:numPr>
        <w:jc w:val="both"/>
        <w:rPr/>
      </w:pPr>
      <w:r>
        <w:rPr/>
        <w:t>Enron uniquely suited to provide this service – most significant power/gas trading presence, without bias/conflict of interest given Enron’s lack of long physical position in NY  (unlike other potential candidates – Dynegy, Mirant, Constellation, etc.)</w:t>
      </w:r>
    </w:p>
    <w:p>
      <w:pPr>
        <w:pStyle w:val="Normal"/>
        <w:numPr>
          <w:ilvl w:val="0"/>
          <w:numId w:val="6"/>
        </w:numPr>
        <w:jc w:val="both"/>
        <w:rPr/>
      </w:pPr>
      <w:r>
        <w:rPr/>
        <w:t>While risks remain with NMPC, this structure effectively takes them “out of the commodity business” through outsource to us (NMPC to retain oversight/signoff role).  In fact, the conforming structure is less successful of exiting NMPC from the business since they still must manage significant commodity positions given they are seeking fixed load shape post 2003 that will with certainty deviate wildly from actual load in any given hour.</w:t>
      </w:r>
    </w:p>
    <w:p>
      <w:pPr>
        <w:pStyle w:val="Normal"/>
        <w:numPr>
          <w:ilvl w:val="0"/>
          <w:numId w:val="6"/>
        </w:numPr>
        <w:jc w:val="both"/>
        <w:rPr/>
      </w:pPr>
      <w:r>
        <w:rPr/>
        <w:t>Incentive-based structure ensures our interests aligned with theirs – we only get paid if they do well relative to benchmarks.</w:t>
      </w:r>
    </w:p>
    <w:p>
      <w:pPr>
        <w:pStyle w:val="Normal"/>
        <w:numPr>
          <w:ilvl w:val="0"/>
          <w:numId w:val="6"/>
        </w:numPr>
        <w:jc w:val="both"/>
        <w:rPr/>
      </w:pPr>
      <w:r>
        <w:rPr/>
        <w:t>Can be coupled with all-requirements slice covering a portion of the portfolio if NMPC wants to fully mitigate some %age of risk associated with the portfolio.</w:t>
      </w:r>
    </w:p>
    <w:p>
      <w:pPr>
        <w:pStyle w:val="Normal"/>
        <w:numPr>
          <w:ilvl w:val="0"/>
          <w:numId w:val="6"/>
        </w:numPr>
        <w:jc w:val="both"/>
        <w:rPr/>
      </w:pPr>
      <w:r>
        <w:rPr/>
        <w:t>Provides access to world-class hedging and risk management without the excessive premiums associated with an all-requirements transaction.  Also, allows them to shed cost “prudency” risk from the NYPSC;  NiMO can point to the fact that they outsourced to the most effective trading company as a demonstration that they acted as prudently as one could in hedging their portfolio risks  (need to be careful we don’t over-extend ourselves legally here).</w:t>
      </w:r>
    </w:p>
    <w:p>
      <w:pPr>
        <w:pStyle w:val="Normal"/>
        <w:jc w:val="both"/>
        <w:rPr/>
      </w:pPr>
      <w:r>
        <w:rPr/>
      </w:r>
    </w:p>
    <w:p>
      <w:pPr>
        <w:pStyle w:val="Normal"/>
        <w:jc w:val="both"/>
        <w:rPr/>
      </w:pPr>
      <w:r>
        <w:rPr/>
      </w:r>
    </w:p>
    <w:p>
      <w:pPr>
        <w:pStyle w:val="Normal"/>
        <w:jc w:val="both"/>
        <w:rPr>
          <w:b/>
        </w:rPr>
      </w:pPr>
      <w:r>
        <w:rPr>
          <w:b/>
        </w:rPr>
        <w:t xml:space="preserve">III. </w:t>
        <w:tab/>
      </w:r>
      <w:r>
        <w:rPr>
          <w:b/>
          <w:u w:val="single"/>
        </w:rPr>
        <w:t>MPS Proposal</w:t>
      </w:r>
    </w:p>
    <w:p>
      <w:pPr>
        <w:pStyle w:val="Normal"/>
        <w:jc w:val="both"/>
        <w:rPr>
          <w:b/>
        </w:rPr>
      </w:pPr>
      <w:r>
        <w:rPr>
          <w:b/>
        </w:rPr>
      </w:r>
    </w:p>
    <w:p>
      <w:pPr>
        <w:pStyle w:val="BodyText"/>
        <w:rPr>
          <w:color w:val="FF0000"/>
        </w:rPr>
      </w:pPr>
      <w:r>
        <w:rPr>
          <w:color w:val="FF0000"/>
        </w:rPr>
        <w:t>Need to continue to assess our desire to perform this function.  Must more fully assess the requirements entailed in this service, as well as to determine what service fees and/or fixed monthly risk premiums we would need to provide the service.</w:t>
      </w:r>
    </w:p>
    <w:p>
      <w:pPr>
        <w:pStyle w:val="BodyText"/>
        <w:rPr>
          <w:color w:val="FF0000"/>
        </w:rPr>
      </w:pPr>
      <w:r>
        <w:rPr>
          <w:color w:val="FF0000"/>
        </w:rPr>
      </w:r>
    </w:p>
    <w:p>
      <w:pPr>
        <w:pStyle w:val="BodyText"/>
        <w:numPr>
          <w:ilvl w:val="0"/>
          <w:numId w:val="2"/>
        </w:numPr>
        <w:rPr>
          <w:color w:val="FF0000"/>
        </w:rPr>
      </w:pPr>
      <w:r>
        <w:rPr>
          <w:color w:val="FF0000"/>
        </w:rPr>
        <w:t>Nature of ICAP obligation?  Can we pass through ICAP auction costs?</w:t>
      </w:r>
    </w:p>
    <w:p>
      <w:pPr>
        <w:pStyle w:val="BodyText"/>
        <w:numPr>
          <w:ilvl w:val="0"/>
          <w:numId w:val="2"/>
        </w:numPr>
        <w:rPr>
          <w:color w:val="FF0000"/>
        </w:rPr>
      </w:pPr>
      <w:r>
        <w:rPr>
          <w:color w:val="FF0000"/>
        </w:rPr>
        <w:t>Any responsibility for ancillaries or are these fully passed through and borne by NMPC?</w:t>
      </w:r>
    </w:p>
    <w:p>
      <w:pPr>
        <w:pStyle w:val="BodyText"/>
        <w:numPr>
          <w:ilvl w:val="0"/>
          <w:numId w:val="5"/>
        </w:numPr>
        <w:rPr>
          <w:color w:val="FF0000"/>
        </w:rPr>
      </w:pPr>
      <w:r>
        <w:rPr>
          <w:color w:val="FF0000"/>
        </w:rPr>
        <w:t>DA versus RT/balancing risks – can we get comfortable with an assumed load forecast margin of error and then translate into a risk premium/service fee?</w:t>
      </w:r>
    </w:p>
    <w:p>
      <w:pPr>
        <w:pStyle w:val="BodyText"/>
        <w:numPr>
          <w:ilvl w:val="0"/>
          <w:numId w:val="5"/>
        </w:numPr>
        <w:rPr>
          <w:color w:val="FF0000"/>
        </w:rPr>
      </w:pPr>
      <w:r>
        <w:rPr>
          <w:color w:val="FF0000"/>
        </w:rPr>
        <w:t>Assuming we can get comfortable with a pricing structure, need to convey via Attachment II to this proposal.</w:t>
      </w:r>
    </w:p>
    <w:p>
      <w:pPr>
        <w:pStyle w:val="BodyText"/>
        <w:rPr>
          <w:color w:val="FF0000"/>
        </w:rPr>
      </w:pPr>
      <w:r>
        <w:rPr>
          <w:color w:val="FF0000"/>
        </w:rPr>
      </w:r>
    </w:p>
    <w:p>
      <w:pPr>
        <w:pStyle w:val="BodyText"/>
        <w:rPr>
          <w:color w:val="FF0000"/>
        </w:rPr>
      </w:pPr>
      <w:r>
        <w:rPr>
          <w:color w:val="FF0000"/>
        </w:rPr>
        <w:t>[Tom May/Lloyd Will/Jeff Miller to think over and work with structuring to finalize our thinking here.]</w:t>
      </w:r>
    </w:p>
    <w:p>
      <w:pPr>
        <w:pStyle w:val="BodyText"/>
        <w:rPr/>
      </w:pPr>
      <w:r>
        <w:rPr/>
        <w:t xml:space="preserve">  </w:t>
      </w:r>
    </w:p>
    <w:p>
      <w:pPr>
        <w:pStyle w:val="BodyText"/>
        <w:rPr>
          <w:color w:val="FF0000"/>
        </w:rPr>
      </w:pPr>
      <w:r>
        <w:rPr>
          <w:color w:val="FF0000"/>
        </w:rPr>
        <w:t>[Add note about contract markups, form of parental guarantee, add’l qualification materials, etc.]</w:t>
      </w:r>
    </w:p>
    <w:p>
      <w:pPr>
        <w:pStyle w:val="BodyText"/>
        <w:rPr>
          <w:color w:val="FF0000"/>
        </w:rPr>
      </w:pPr>
      <w:r>
        <w:rPr>
          <w:color w:val="FF0000"/>
        </w:rPr>
      </w:r>
    </w:p>
    <w:p>
      <w:pPr>
        <w:pStyle w:val="BodyText"/>
        <w:rPr/>
      </w:pPr>
      <w:r>
        <w:rPr/>
        <w:t>Enron appreciates the opportunity to provide this proposal to serve NMPC’s needs.   I will call you to insure that you have received the information and to address any questions you might have.  Please do not hesitate to contact me should you wish to discuss any aspect of our proposal.    My complete contact information is provided below.</w:t>
      </w:r>
    </w:p>
    <w:p>
      <w:pPr>
        <w:pStyle w:val="BodyText"/>
        <w:rPr/>
      </w:pPr>
      <w:r>
        <w:rPr/>
      </w:r>
    </w:p>
    <w:p>
      <w:pPr>
        <w:pStyle w:val="BodyText"/>
        <w:rPr/>
      </w:pPr>
      <w:r>
        <w:rPr/>
        <w:tab/>
        <w:t>John Llodra</w:t>
      </w:r>
    </w:p>
    <w:p>
      <w:pPr>
        <w:pStyle w:val="BodyText"/>
        <w:rPr/>
      </w:pPr>
      <w:r>
        <w:rPr/>
        <w:tab/>
        <w:t>Director, East Power Origination</w:t>
      </w:r>
    </w:p>
    <w:p>
      <w:pPr>
        <w:pStyle w:val="BodyText"/>
        <w:rPr/>
      </w:pPr>
      <w:r>
        <w:rPr/>
        <w:tab/>
        <w:t>Enron Americas</w:t>
      </w:r>
    </w:p>
    <w:p>
      <w:pPr>
        <w:pStyle w:val="BodyText"/>
        <w:rPr/>
      </w:pPr>
      <w:r>
        <w:rPr/>
        <w:tab/>
        <w:t>82 Smith Street</w:t>
      </w:r>
    </w:p>
    <w:p>
      <w:pPr>
        <w:pStyle w:val="BodyText"/>
        <w:rPr/>
      </w:pPr>
      <w:r>
        <w:rPr/>
        <w:tab/>
        <w:t>Groton, MA  01450</w:t>
      </w:r>
    </w:p>
    <w:p>
      <w:pPr>
        <w:pStyle w:val="BodyText"/>
        <w:rPr/>
      </w:pPr>
      <w:r>
        <w:rPr/>
        <w:tab/>
        <w:t>Phone:</w:t>
        <w:tab/>
        <w:t>978-449-9936</w:t>
      </w:r>
    </w:p>
    <w:p>
      <w:pPr>
        <w:pStyle w:val="BodyText"/>
        <w:rPr/>
      </w:pPr>
      <w:r>
        <w:rPr/>
        <w:tab/>
        <w:t>Fax:</w:t>
        <w:tab/>
        <w:t>978-449-9937</w:t>
      </w:r>
    </w:p>
    <w:p>
      <w:pPr>
        <w:pStyle w:val="BodyText"/>
        <w:rPr/>
      </w:pPr>
      <w:r>
        <w:rPr/>
        <w:tab/>
        <w:t>Cell:</w:t>
        <w:tab/>
        <w:t>978-314-5614</w:t>
      </w:r>
    </w:p>
    <w:p>
      <w:pPr>
        <w:pStyle w:val="BodyText"/>
        <w:rPr/>
      </w:pPr>
      <w:r>
        <w:rPr/>
        <w:tab/>
        <w:t>Pager:</w:t>
        <w:tab/>
        <w:t>877-246-3206</w:t>
      </w:r>
    </w:p>
    <w:p>
      <w:pPr>
        <w:pStyle w:val="BodyText"/>
        <w:rPr/>
      </w:pPr>
      <w:r>
        <w:rPr/>
        <w:tab/>
        <w:t>Home:</w:t>
        <w:tab/>
        <w:t>978-448-9260</w:t>
      </w:r>
    </w:p>
    <w:p>
      <w:pPr>
        <w:pStyle w:val="BodyText"/>
        <w:rPr/>
      </w:pPr>
      <w:r>
        <w:rPr/>
      </w:r>
    </w:p>
    <w:p>
      <w:pPr>
        <w:pStyle w:val="BodyText"/>
        <w:rPr/>
      </w:pPr>
      <w:r>
        <w:rPr/>
        <w:t>Commencing with this date, I will serve as the designated Enron contact for all communications regarding this proposal.  I look forward to speaking with you soon regarding our proposal.</w:t>
      </w:r>
    </w:p>
    <w:p>
      <w:pPr>
        <w:pStyle w:val="BodyText"/>
        <w:rPr/>
      </w:pPr>
      <w:r>
        <w:rPr/>
      </w:r>
    </w:p>
    <w:p>
      <w:pPr>
        <w:pStyle w:val="BodyText"/>
        <w:rPr/>
      </w:pPr>
      <w:r>
        <w:rPr/>
        <w:t>Best regards,</w:t>
      </w:r>
    </w:p>
    <w:p>
      <w:pPr>
        <w:pStyle w:val="BodyText"/>
        <w:rPr/>
      </w:pPr>
      <w:r>
        <w:rPr/>
      </w:r>
    </w:p>
    <w:p>
      <w:pPr>
        <w:pStyle w:val="BodyText"/>
        <w:rPr/>
      </w:pPr>
      <w:r>
        <w:rPr/>
      </w:r>
    </w:p>
    <w:p>
      <w:pPr>
        <w:pStyle w:val="BodyText"/>
        <w:rPr/>
      </w:pPr>
      <w:r>
        <w:rPr/>
      </w:r>
    </w:p>
    <w:p>
      <w:pPr>
        <w:pStyle w:val="BodyText"/>
        <w:rPr/>
      </w:pPr>
      <w:r>
        <w:rPr/>
      </w:r>
    </w:p>
    <w:p>
      <w:pPr>
        <w:pStyle w:val="BodyText"/>
        <w:rPr/>
      </w:pPr>
      <w:r>
        <w:rPr/>
        <w:t>John Llodra</w:t>
      </w:r>
    </w:p>
    <w:p>
      <w:pPr>
        <w:pStyle w:val="BodyText"/>
        <w:rPr/>
      </w:pPr>
      <w:r>
        <w:rPr/>
        <w:t>Director, East Power Origination</w:t>
      </w:r>
    </w:p>
    <w:p>
      <w:pPr>
        <w:pStyle w:val="BodyText"/>
        <w:rPr/>
      </w:pPr>
      <w:r>
        <w:rPr/>
      </w:r>
    </w:p>
    <w:p>
      <w:pPr>
        <w:pStyle w:val="BodyText2"/>
        <w:rPr/>
      </w:pPr>
      <w:r>
        <w:rPr/>
      </w:r>
    </w:p>
    <w:p>
      <w:pPr>
        <w:pStyle w:val="BodyTextIndent"/>
        <w:jc w:val="both"/>
        <w:rPr>
          <w:sz w:val="22"/>
        </w:rPr>
      </w:pPr>
      <w:r>
        <w:rPr>
          <w:sz w:val="22"/>
        </w:rPr>
        <w:t xml:space="preserve">       </w:t>
      </w:r>
      <w:r>
        <w:rPr>
          <w:sz w:val="22"/>
        </w:rPr>
        <w:t xml:space="preserve">All information submitted is prepared solely to facilitate discussions between NMPC and Enron, is confidential and should not be shown to or discussed with any third party, and is not, or intended to be, a binding commitment on the part of, or an offer by Enron to negotiate or consummate any transaction on the terms set out or otherwise. No binding agreements will arise until NMPC and Enron have conducted satisfactory due diligence and signed mutually acceptable definitive agreements, containing mutually agreeable representations, warranties and other customary provisions, including, but not limited to, those relating to tax, credit, limitation of damages and remedies. This letter and the attached information does not create and is not intended to create a binding and enforceable contract between NMPC and Enron or a duty on the part of either to negotiate in good faith toward a binding contract with respect to any transaction and may not be relied upon by either NMPC or Enron as the basis for a contract by estoppel or otherwise. </w:t>
      </w:r>
    </w:p>
    <w:p>
      <w:pPr>
        <w:pStyle w:val="BodyTextIndent"/>
        <w:ind w:hanging="0" w:end="0"/>
        <w:jc w:val="both"/>
        <w:rPr>
          <w:sz w:val="22"/>
        </w:rPr>
      </w:pPr>
      <w:r>
        <w:rPr>
          <w:sz w:val="22"/>
        </w:rPr>
      </w:r>
    </w:p>
    <w:p>
      <w:pPr>
        <w:pStyle w:val="BodyTextIndent"/>
        <w:ind w:hanging="0" w:end="0"/>
        <w:jc w:val="both"/>
        <w:rPr>
          <w:color w:val="000000"/>
          <w:sz w:val="22"/>
        </w:rPr>
      </w:pPr>
      <w:r>
        <w:rPr>
          <w:color w:val="000000"/>
          <w:sz w:val="22"/>
        </w:rPr>
        <w:t>In addition to the pricing details submitted with this letter, Enron has submitted the Enron Transaction Structure, which Enron considers proprietary to Enron. The Enron Pricing Transaction is submitted on the basis that NMPC will keep the same confidential and will not discuss, publish or otherwise reveal any details of the same to any third party, without the prior written consent of Enron. In the event that NMPC fails to keep the details of the Enron Transaction Structure confidential in accordance with the above, Enron may, in addition to any other remedies at law, immediately withdraw any proposal, including, but not limited to those contained in the Enron Transaction Structure, it has submitted to NMPC for its consideration.</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CONFIDENTIAL</w:t>
    </w: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jc w:val="both"/>
      <w:outlineLvl w:val="1"/>
    </w:pPr>
    <w:rPr>
      <w:b/>
      <w:i/>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i/>
    </w:rPr>
  </w:style>
  <w:style w:type="paragraph" w:styleId="BodyTextIndent">
    <w:name w:val="Body Text Indent"/>
    <w:basedOn w:val="Normal"/>
    <w:pPr>
      <w:tabs>
        <w:tab w:val="clear" w:pos="720"/>
        <w:tab w:val="left" w:pos="360" w:leader="none"/>
      </w:tabs>
      <w:ind w:hanging="360" w:start="36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2001-03-16T18:10:00Z</dcterms:created>
  <dc:creator>jllodra</dc:creator>
  <dc:description/>
  <dc:language>en-CA</dc:language>
  <cp:lastModifiedBy>logistics</cp:lastModifiedBy>
  <cp:lastPrinted>2001-03-16T14:48:00Z</cp:lastPrinted>
  <dcterms:modified xsi:type="dcterms:W3CDTF">2001-05-04T18:06:00Z</dcterms:modified>
  <cp:revision>16</cp:revision>
  <dc:subject/>
  <dc:title>February 22, 2001</dc:title>
</cp:coreProperties>
</file>