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rFonts w:ascii="Arial" w:hAnsi="Arial" w:cs="Arial"/>
          <w:sz w:val="24"/>
        </w:rPr>
      </w:pPr>
      <w:r>
        <w:rPr>
          <w:rFonts w:cs="Arial" w:ascii="Arial" w:hAnsi="Arial"/>
          <w:sz w:val="24"/>
        </w:rPr>
        <w:t>December 16, 1999</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r>
    </w:p>
    <w:p>
      <w:pPr>
        <w:pStyle w:val="InsideAddress"/>
        <w:jc w:val="start"/>
        <w:rPr>
          <w:rFonts w:ascii="Arial" w:hAnsi="Arial" w:cs="Arial"/>
          <w:sz w:val="24"/>
        </w:rPr>
      </w:pPr>
      <w:r>
        <w:rPr>
          <w:rFonts w:cs="Arial" w:ascii="Arial" w:hAnsi="Arial"/>
          <w:sz w:val="24"/>
        </w:rPr>
        <w:t>Mr. Richard L. Anderson</w:t>
      </w:r>
    </w:p>
    <w:p>
      <w:pPr>
        <w:pStyle w:val="InsideAddress"/>
        <w:jc w:val="start"/>
        <w:rPr>
          <w:rFonts w:ascii="Arial" w:hAnsi="Arial" w:cs="Arial"/>
          <w:sz w:val="24"/>
        </w:rPr>
      </w:pPr>
      <w:r>
        <w:rPr>
          <w:rFonts w:cs="Arial" w:ascii="Arial" w:hAnsi="Arial"/>
          <w:sz w:val="24"/>
        </w:rPr>
        <w:t>Vice President, Utility Oiperations</w:t>
      </w:r>
    </w:p>
    <w:p>
      <w:pPr>
        <w:pStyle w:val="InsideAddress"/>
        <w:jc w:val="start"/>
        <w:rPr>
          <w:rFonts w:ascii="Arial" w:hAnsi="Arial" w:cs="Arial"/>
          <w:sz w:val="24"/>
        </w:rPr>
      </w:pPr>
      <w:r>
        <w:rPr>
          <w:rFonts w:cs="Arial" w:ascii="Arial" w:hAnsi="Arial"/>
          <w:sz w:val="24"/>
        </w:rPr>
        <w:t>Central Iowa Power Cooperative</w:t>
      </w:r>
    </w:p>
    <w:p>
      <w:pPr>
        <w:pStyle w:val="InsideAddress"/>
        <w:jc w:val="start"/>
        <w:rPr>
          <w:rFonts w:ascii="Arial" w:hAnsi="Arial" w:cs="Arial"/>
          <w:sz w:val="24"/>
        </w:rPr>
      </w:pPr>
      <w:r>
        <w:rPr>
          <w:rFonts w:cs="Arial" w:ascii="Arial" w:hAnsi="Arial"/>
          <w:sz w:val="24"/>
        </w:rPr>
        <w:t>P.O. Box 2517</w:t>
      </w:r>
    </w:p>
    <w:p>
      <w:pPr>
        <w:pStyle w:val="InsideAddress"/>
        <w:jc w:val="start"/>
        <w:rPr>
          <w:rFonts w:ascii="Arial" w:hAnsi="Arial" w:cs="Arial"/>
          <w:sz w:val="24"/>
        </w:rPr>
      </w:pPr>
      <w:r>
        <w:rPr>
          <w:rFonts w:cs="Arial" w:ascii="Arial" w:hAnsi="Arial"/>
          <w:sz w:val="24"/>
        </w:rPr>
        <w:t>Cedar Rapids, IA  52406-2517</w:t>
      </w:r>
    </w:p>
    <w:p>
      <w:pPr>
        <w:pStyle w:val="InsideAddress"/>
        <w:jc w:val="start"/>
        <w:rPr>
          <w:rFonts w:ascii="Arial" w:hAnsi="Arial" w:cs="Arial"/>
          <w:sz w:val="24"/>
        </w:rPr>
      </w:pPr>
      <w:r>
        <w:rPr>
          <w:rFonts w:cs="Arial" w:ascii="Arial" w:hAnsi="Arial"/>
          <w:sz w:val="24"/>
        </w:rPr>
      </w:r>
    </w:p>
    <w:p>
      <w:pPr>
        <w:pStyle w:val="InsideAddress"/>
        <w:jc w:val="start"/>
        <w:rPr>
          <w:rFonts w:ascii="Arial" w:hAnsi="Arial" w:cs="Arial"/>
          <w:sz w:val="24"/>
        </w:rPr>
      </w:pPr>
      <w:r>
        <w:rPr>
          <w:rFonts w:cs="Arial" w:ascii="Arial" w:hAnsi="Arial"/>
          <w:sz w:val="24"/>
        </w:rPr>
      </w:r>
    </w:p>
    <w:p>
      <w:pPr>
        <w:pStyle w:val="Normal"/>
        <w:jc w:val="start"/>
        <w:rPr>
          <w:rFonts w:ascii="Arial" w:hAnsi="Arial" w:cs="Arial"/>
          <w:b/>
          <w:i/>
          <w:i/>
          <w:sz w:val="24"/>
        </w:rPr>
      </w:pPr>
      <w:r>
        <w:rPr>
          <w:rFonts w:cs="Arial" w:ascii="Arial" w:hAnsi="Arial"/>
          <w:b/>
          <w:i/>
          <w:sz w:val="24"/>
        </w:rPr>
        <w:t>Re:</w:t>
        <w:tab/>
        <w:t>Power Supply Proposal</w:t>
      </w:r>
    </w:p>
    <w:p>
      <w:pPr>
        <w:pStyle w:val="Normal"/>
        <w:jc w:val="start"/>
        <w:rPr>
          <w:rFonts w:ascii="Arial" w:hAnsi="Arial" w:cs="Arial"/>
          <w:b/>
          <w:i/>
          <w:i/>
          <w:sz w:val="24"/>
        </w:rPr>
      </w:pPr>
      <w:r>
        <w:rPr>
          <w:rFonts w:cs="Arial" w:ascii="Arial" w:hAnsi="Arial"/>
          <w:b/>
          <w:i/>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Dear Mr. Anderson:</w:t>
      </w:r>
    </w:p>
    <w:p>
      <w:pPr>
        <w:pStyle w:val="BodyText2"/>
        <w:jc w:val="start"/>
        <w:rPr>
          <w:rFonts w:ascii="Arial" w:hAnsi="Arial" w:cs="Arial"/>
          <w:sz w:val="24"/>
        </w:rPr>
      </w:pPr>
      <w:r>
        <w:rPr>
          <w:rFonts w:cs="Arial"/>
          <w:sz w:val="24"/>
        </w:rPr>
      </w:r>
    </w:p>
    <w:p>
      <w:pPr>
        <w:pStyle w:val="BodyText2"/>
        <w:jc w:val="start"/>
        <w:rPr/>
      </w:pPr>
      <w:r>
        <w:rPr/>
      </w:r>
    </w:p>
    <w:p>
      <w:pPr>
        <w:pStyle w:val="BodyText2"/>
        <w:jc w:val="start"/>
        <w:rPr/>
      </w:pPr>
      <w:r>
        <w:rPr/>
        <w:t>In follow-up to our recent meeting, the attached proposal outlines the basic parameters for a transaction between Enron North America (“Enron”) and Central Iowa Power Cooperative (“CIPCO”).</w:t>
      </w:r>
    </w:p>
    <w:p>
      <w:pPr>
        <w:pStyle w:val="BodyText2"/>
        <w:jc w:val="start"/>
        <w:rPr/>
      </w:pPr>
      <w:r>
        <w:rPr/>
      </w:r>
    </w:p>
    <w:p>
      <w:pPr>
        <w:pStyle w:val="BodyText2"/>
        <w:jc w:val="start"/>
        <w:rPr/>
      </w:pPr>
      <w:r>
        <w:rPr/>
        <w:t>The proposal is intended to initiate further discussion and demonstrate Enron’s willingness to partner with CIPCO.  Key elements of the proposal include:</w:t>
      </w:r>
    </w:p>
    <w:p>
      <w:pPr>
        <w:pStyle w:val="BodyText2"/>
        <w:jc w:val="start"/>
        <w:rPr/>
      </w:pPr>
      <w:r>
        <w:rPr/>
      </w:r>
    </w:p>
    <w:p>
      <w:pPr>
        <w:pStyle w:val="Normal"/>
        <w:jc w:val="start"/>
        <w:rPr>
          <w:rFonts w:ascii="Arial" w:hAnsi="Arial" w:cs="Arial"/>
          <w:sz w:val="24"/>
        </w:rPr>
      </w:pPr>
      <w:r>
        <w:rPr>
          <w:rFonts w:cs="Arial" w:ascii="Arial" w:hAnsi="Arial"/>
          <w:sz w:val="24"/>
        </w:rPr>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plant will be based on four LM6000’s currently owned and controlled by Enron.</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Commissioning the facility on 5/1/01, prior to CIPCO’s capacity needs on 11/1/01 creates savings and decreases CIPCO’s all-in cost.</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output of the plant is within the tolerance of the site and would require minimum transmission improvements by CIPCO.</w:t>
      </w:r>
    </w:p>
    <w:p>
      <w:pPr>
        <w:pStyle w:val="Normal"/>
        <w:jc w:val="start"/>
        <w:rPr>
          <w:rFonts w:ascii="Arial" w:hAnsi="Arial" w:cs="Arial"/>
          <w:i/>
          <w:i/>
          <w:sz w:val="24"/>
        </w:rPr>
      </w:pPr>
      <w:r>
        <w:rPr>
          <w:rFonts w:cs="Arial" w:ascii="Arial" w:hAnsi="Arial"/>
          <w:i/>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 xml:space="preserve">I will call in a few days to follow-up on questions you may have. </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tab/>
        <w:t>Sincerely,</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tab/>
        <w:t>Oscar Dalton</w:t>
      </w:r>
    </w:p>
    <w:p>
      <w:pPr>
        <w:pStyle w:val="Normal"/>
        <w:jc w:val="start"/>
        <w:rPr>
          <w:rFonts w:ascii="Arial" w:hAnsi="Arial" w:cs="Arial"/>
          <w:sz w:val="24"/>
        </w:rPr>
      </w:pPr>
      <w:r>
        <w:rPr>
          <w:rFonts w:cs="Arial" w:ascii="Arial" w:hAnsi="Arial"/>
          <w:sz w:val="24"/>
        </w:rPr>
        <w:tab/>
        <w:tab/>
        <w:tab/>
        <w:tab/>
        <w:tab/>
        <w:t>Manager</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C:</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Mr. Gary Sharp</w:t>
      </w:r>
    </w:p>
    <w:p>
      <w:pPr>
        <w:pStyle w:val="Normal"/>
        <w:jc w:val="start"/>
        <w:rPr>
          <w:rFonts w:ascii="Arial" w:hAnsi="Arial" w:cs="Arial"/>
          <w:sz w:val="24"/>
        </w:rPr>
      </w:pPr>
      <w:r>
        <w:rPr>
          <w:rFonts w:cs="Arial" w:ascii="Arial" w:hAnsi="Arial"/>
          <w:sz w:val="24"/>
        </w:rPr>
        <w:t>Manager, Generation Operations</w:t>
      </w:r>
    </w:p>
    <w:p>
      <w:pPr>
        <w:pStyle w:val="Normal"/>
        <w:jc w:val="start"/>
        <w:rPr>
          <w:rFonts w:ascii="Arial" w:hAnsi="Arial" w:cs="Arial"/>
          <w:sz w:val="24"/>
        </w:rPr>
      </w:pPr>
      <w:r>
        <w:rPr>
          <w:rFonts w:cs="Arial" w:ascii="Arial" w:hAnsi="Arial"/>
          <w:sz w:val="24"/>
        </w:rPr>
        <w:t>Central Iowa Power Cooperative</w:t>
      </w:r>
    </w:p>
    <w:p>
      <w:pPr>
        <w:pStyle w:val="Normal"/>
        <w:jc w:val="start"/>
        <w:rPr>
          <w:rFonts w:ascii="Arial" w:hAnsi="Arial" w:cs="Arial"/>
          <w:sz w:val="24"/>
        </w:rPr>
      </w:pPr>
      <w:r>
        <w:rPr>
          <w:rFonts w:cs="Arial" w:ascii="Arial" w:hAnsi="Arial"/>
          <w:sz w:val="24"/>
        </w:rPr>
        <w:t>Cedar Rapids, Iowa  52406</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9540" w:type="dxa"/>
            <w:gridSpan w:val="2"/>
            <w:tcBorders>
              <w:top w:val="single" w:sz="12" w:space="0" w:color="000000"/>
              <w:start w:val="single" w:sz="12" w:space="0" w:color="000000"/>
              <w:end w:val="single" w:sz="12" w:space="0" w:color="000000"/>
            </w:tcBorders>
            <w:shd w:fill="000000" w:val="clear"/>
          </w:tcPr>
          <w:p>
            <w:pPr>
              <w:pStyle w:val="Heading7"/>
              <w:snapToGrid w:val="false"/>
              <w:ind w:hanging="0" w:start="0"/>
              <w:rPr>
                <w:i w:val="false"/>
                <w:i w:val="false"/>
              </w:rPr>
            </w:pPr>
            <w:r>
              <w:rPr>
                <w:i w:val="false"/>
              </w:rPr>
            </w:r>
          </w:p>
        </w:tc>
      </w:tr>
      <w:tr>
        <w:trPr/>
        <w:tc>
          <w:tcPr>
            <w:tcW w:w="9540" w:type="dxa"/>
            <w:gridSpan w:val="2"/>
            <w:tcBorders>
              <w:start w:val="single" w:sz="12" w:space="0" w:color="000000"/>
              <w:end w:val="single" w:sz="12" w:space="0" w:color="000000"/>
            </w:tcBorders>
            <w:shd w:fill="000000" w:val="clear"/>
          </w:tcPr>
          <w:p>
            <w:pPr>
              <w:pStyle w:val="Heading7"/>
              <w:ind w:hanging="0" w:start="0"/>
              <w:rPr>
                <w:i w:val="false"/>
                <w:i w:val="false"/>
                <w:sz w:val="28"/>
              </w:rPr>
            </w:pPr>
            <w:r>
              <w:rPr>
                <w:i w:val="false"/>
                <w:sz w:val="28"/>
              </w:rPr>
              <w:t>Power Supply Proposal</w:t>
            </w:r>
          </w:p>
        </w:tc>
      </w:tr>
      <w:tr>
        <w:trPr/>
        <w:tc>
          <w:tcPr>
            <w:tcW w:w="9540" w:type="dxa"/>
            <w:gridSpan w:val="2"/>
            <w:tcBorders>
              <w:start w:val="single" w:sz="12" w:space="0" w:color="000000"/>
              <w:end w:val="single" w:sz="12" w:space="0" w:color="000000"/>
            </w:tcBorders>
            <w:shd w:fill="000000" w:val="clear"/>
          </w:tcPr>
          <w:p>
            <w:pPr>
              <w:pStyle w:val="Heading7"/>
              <w:snapToGrid w:val="false"/>
              <w:ind w:hanging="0" w:start="0"/>
              <w:rPr>
                <w:rFonts w:ascii="Arial" w:hAnsi="Arial" w:cs="Arial"/>
                <w:b/>
                <w:i w:val="false"/>
                <w:i w:val="false"/>
                <w:color w:val="FFFFFF"/>
                <w:sz w:val="28"/>
              </w:rPr>
            </w:pPr>
            <w:r>
              <w:rPr>
                <w:rFonts w:cs="Arial"/>
                <w:b/>
                <w:i w:val="false"/>
                <w:color w:val="FFFFFF"/>
                <w:sz w:val="28"/>
              </w:rPr>
            </w:r>
          </w:p>
        </w:tc>
      </w:tr>
      <w:tr>
        <w:trPr/>
        <w:tc>
          <w:tcPr>
            <w:tcW w:w="2070" w:type="dxa"/>
            <w:tcBorders>
              <w:top w:val="single" w:sz="12" w:space="0" w:color="000000"/>
              <w:start w:val="single" w:sz="12" w:space="0" w:color="000000"/>
            </w:tcBorders>
          </w:tcPr>
          <w:p>
            <w:pPr>
              <w:pStyle w:val="Normal"/>
              <w:snapToGrid w:val="false"/>
              <w:jc w:val="start"/>
              <w:rPr>
                <w:rFonts w:ascii="Arial" w:hAnsi="Arial" w:cs="Arial"/>
                <w:b/>
                <w:i w:val="false"/>
                <w:i w:val="false"/>
                <w:sz w:val="24"/>
              </w:rPr>
            </w:pPr>
            <w:r>
              <w:rPr>
                <w:rFonts w:cs="Arial" w:ascii="Arial" w:hAnsi="Arial"/>
                <w:b/>
                <w:i w:val="false"/>
                <w:sz w:val="24"/>
              </w:rPr>
            </w:r>
          </w:p>
        </w:tc>
        <w:tc>
          <w:tcPr>
            <w:tcW w:w="7470" w:type="dxa"/>
            <w:tcBorders>
              <w:top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Overview</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Enron North America Corp. (“Enron”) and Central Iowa Power Cooperative (“CIPCO”) will develop a simple-cycle power generating station (“the Plant”) to serve the needs of both companies.  Enron will construct the plant and CIPCO will finance, own and operate.  Enron will purchase 100% of the plant output for the period May 1, 2001, through October 31, 2001, and 50% thereafter until 10/31/08.</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Plant Description</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The Plant will be based on 4 gas-fired LM6000 combustion turbines installed in simple-cycle configuration.  Construction will begin in September 2000, turbines will be delivered in November 2000 and the plant will be commissioned in May 2001.  The Plant will be equipped with inlet air chilling, enhanced SPRINT water injection for improved output and efficiency.</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Turbines will be provided from manufacturing capacity reserved by Enron.</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Operating</w:t>
            </w:r>
          </w:p>
          <w:p>
            <w:pPr>
              <w:pStyle w:val="Normal"/>
              <w:jc w:val="start"/>
              <w:rPr>
                <w:rFonts w:ascii="Arial" w:hAnsi="Arial" w:cs="Arial"/>
                <w:b/>
                <w:sz w:val="24"/>
              </w:rPr>
            </w:pPr>
            <w:r>
              <w:rPr>
                <w:rFonts w:cs="Arial" w:ascii="Arial" w:hAnsi="Arial"/>
                <w:b/>
                <w:sz w:val="24"/>
              </w:rPr>
              <w:t>Characteristics</w:t>
            </w:r>
          </w:p>
          <w:p>
            <w:pPr>
              <w:pStyle w:val="Normal"/>
              <w:jc w:val="start"/>
              <w:rPr/>
            </w:pPr>
            <w:r>
              <w:rPr>
                <w:rFonts w:cs="Arial" w:ascii="Arial" w:hAnsi="Arial"/>
                <w:b/>
                <w:sz w:val="24"/>
              </w:rPr>
              <w:t>(90</w:t>
            </w:r>
            <w:r>
              <w:rPr>
                <w:rFonts w:eastAsia="Symbol" w:cs="Symbol" w:ascii="Symbol" w:hAnsi="Symbol"/>
                <w:b/>
                <w:sz w:val="24"/>
              </w:rPr>
              <w:sym w:font="Symbol" w:char="f0b0"/>
            </w:r>
            <w:r>
              <w:rPr>
                <w:rFonts w:cs="Arial" w:ascii="Arial" w:hAnsi="Arial"/>
                <w:b/>
                <w:sz w:val="24"/>
              </w:rPr>
              <w:t xml:space="preserve"> F)</w:t>
            </w:r>
          </w:p>
        </w:tc>
        <w:tc>
          <w:tcPr>
            <w:tcW w:w="7470" w:type="dxa"/>
            <w:tcBorders>
              <w:end w:val="single" w:sz="12" w:space="0" w:color="000000"/>
            </w:tcBorders>
          </w:tcPr>
          <w:p>
            <w:pPr>
              <w:pStyle w:val="Heading9"/>
              <w:tabs>
                <w:tab w:val="clear" w:pos="720"/>
                <w:tab w:val="left" w:pos="2142" w:leader="none"/>
                <w:tab w:val="left" w:pos="3492" w:leader="none"/>
              </w:tabs>
              <w:ind w:hanging="0" w:start="0"/>
              <w:rPr/>
            </w:pPr>
            <w:r>
              <w:rPr/>
              <w:t>Output</w:t>
              <w:tab/>
              <w:t>184 Mw</w:t>
            </w:r>
          </w:p>
          <w:p>
            <w:pPr>
              <w:pStyle w:val="Heading9"/>
              <w:tabs>
                <w:tab w:val="clear" w:pos="720"/>
                <w:tab w:val="left" w:pos="2142" w:leader="none"/>
                <w:tab w:val="left" w:pos="3492" w:leader="none"/>
              </w:tabs>
              <w:ind w:hanging="0" w:start="0"/>
              <w:rPr/>
            </w:pPr>
            <w:r>
              <w:rPr/>
              <w:t>Heat rate (HHV)</w:t>
              <w:tab/>
              <w:t>9,500 Btu/kWh</w:t>
            </w:r>
          </w:p>
          <w:p>
            <w:pPr>
              <w:pStyle w:val="Normal"/>
              <w:tabs>
                <w:tab w:val="clear" w:pos="720"/>
                <w:tab w:val="left" w:pos="2142" w:leader="none"/>
                <w:tab w:val="left" w:pos="3582" w:leader="none"/>
              </w:tabs>
              <w:jc w:val="start"/>
              <w:rPr/>
            </w:pPr>
            <w:r>
              <w:rPr>
                <w:rFonts w:cs="Arial" w:ascii="Arial" w:hAnsi="Arial"/>
                <w:sz w:val="24"/>
              </w:rPr>
              <w:t>Emissions</w:t>
              <w:tab/>
              <w:t>25 PPM NO</w:t>
            </w:r>
            <w:r>
              <w:rPr>
                <w:rFonts w:cs="Arial" w:ascii="Arial" w:hAnsi="Arial"/>
                <w:sz w:val="24"/>
                <w:vertAlign w:val="subscript"/>
              </w:rPr>
              <w:t>X</w:t>
            </w:r>
          </w:p>
          <w:p>
            <w:pPr>
              <w:pStyle w:val="Normal"/>
              <w:tabs>
                <w:tab w:val="clear" w:pos="720"/>
                <w:tab w:val="left" w:pos="2142" w:leader="none"/>
                <w:tab w:val="left" w:pos="3582" w:leader="none"/>
              </w:tabs>
              <w:jc w:val="start"/>
              <w:rPr>
                <w:rFonts w:ascii="Arial" w:hAnsi="Arial" w:cs="Arial"/>
                <w:sz w:val="24"/>
              </w:rPr>
            </w:pPr>
            <w:r>
              <w:rPr>
                <w:rFonts w:cs="Arial" w:ascii="Arial" w:hAnsi="Arial"/>
                <w:sz w:val="24"/>
              </w:rPr>
              <w:t>Operating Cost        $2.40 / MWh</w:t>
            </w:r>
          </w:p>
          <w:p>
            <w:pPr>
              <w:pStyle w:val="Normal"/>
              <w:tabs>
                <w:tab w:val="clear" w:pos="720"/>
                <w:tab w:val="left" w:pos="2142" w:leader="none"/>
                <w:tab w:val="left" w:pos="3582" w:leader="none"/>
              </w:tabs>
              <w:jc w:val="start"/>
              <w:rPr>
                <w:rFonts w:ascii="Arial" w:hAnsi="Arial" w:cs="Arial"/>
                <w:sz w:val="24"/>
              </w:rPr>
            </w:pPr>
            <w:r>
              <w:rPr>
                <w:rFonts w:eastAsia="Arial" w:cs="Arial" w:ascii="Arial" w:hAnsi="Arial"/>
                <w:sz w:val="24"/>
              </w:rPr>
              <w:t xml:space="preserve">                                 </w:t>
            </w:r>
            <w:r>
              <w:rPr>
                <w:rFonts w:cs="Arial" w:ascii="Arial" w:hAnsi="Arial"/>
                <w:sz w:val="24"/>
              </w:rPr>
              <w:t>$0.50 / kWmonth</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EPC</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Enron will be responsible for engineering, procurement and construction or as mutually negotiated.</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 xml:space="preserve">Power Sales </w:t>
            </w:r>
          </w:p>
          <w:p>
            <w:pPr>
              <w:pStyle w:val="Normal"/>
              <w:jc w:val="start"/>
              <w:rPr>
                <w:rFonts w:ascii="Arial" w:hAnsi="Arial" w:cs="Arial"/>
                <w:b/>
                <w:sz w:val="24"/>
              </w:rPr>
            </w:pPr>
            <w:r>
              <w:rPr>
                <w:rFonts w:cs="Arial" w:ascii="Arial" w:hAnsi="Arial"/>
                <w:b/>
                <w:sz w:val="24"/>
              </w:rPr>
              <w:t>Agreement</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Project Economics</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 xml:space="preserve">CIPCO will execute a power sales agreement (“PSA”) with Enron for the output of the Plant.  The PSA will permit Enron to schedule all of the capacity of the Plant with typical scheduling requirements and operating constraints. </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t>Enron will guarantee overall project economics for CIPCO at $485/kW.</w:t>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bottom w:val="single" w:sz="12" w:space="0" w:color="000000"/>
            </w:tcBorders>
          </w:tcPr>
          <w:p>
            <w:pPr>
              <w:pStyle w:val="Footer"/>
              <w:tabs>
                <w:tab w:val="clear" w:pos="8640"/>
                <w:tab w:val="center" w:pos="4320" w:leader="none"/>
              </w:tabs>
              <w:ind w:end="-450"/>
              <w:jc w:val="start"/>
              <w:rPr>
                <w:rFonts w:ascii="Arial" w:hAnsi="Arial" w:cs="Arial"/>
                <w:b/>
                <w:sz w:val="24"/>
              </w:rPr>
            </w:pPr>
            <w:r>
              <w:rPr>
                <w:rFonts w:cs="Arial" w:ascii="Arial" w:hAnsi="Arial"/>
                <w:b/>
                <w:sz w:val="24"/>
              </w:rPr>
              <w:t>Financing</w:t>
            </w:r>
          </w:p>
          <w:p>
            <w:pPr>
              <w:pStyle w:val="Footer"/>
              <w:tabs>
                <w:tab w:val="clear" w:pos="8640"/>
                <w:tab w:val="center" w:pos="4320" w:leader="none"/>
              </w:tabs>
              <w:ind w:end="-450"/>
              <w:jc w:val="start"/>
              <w:rPr>
                <w:rFonts w:ascii="Arial" w:hAnsi="Arial" w:cs="Arial"/>
                <w:b/>
                <w:sz w:val="24"/>
              </w:rPr>
            </w:pPr>
            <w:r>
              <w:rPr>
                <w:rFonts w:cs="Arial" w:ascii="Arial" w:hAnsi="Arial"/>
                <w:b/>
                <w:sz w:val="24"/>
              </w:rPr>
              <w:t>&amp; Ownership</w:t>
            </w:r>
          </w:p>
        </w:tc>
        <w:tc>
          <w:tcPr>
            <w:tcW w:w="7470" w:type="dxa"/>
            <w:tcBorders>
              <w:bottom w:val="single" w:sz="12" w:space="0" w:color="000000"/>
              <w:end w:val="single" w:sz="12" w:space="0" w:color="000000"/>
            </w:tcBorders>
          </w:tcPr>
          <w:p>
            <w:pPr>
              <w:pStyle w:val="Normal"/>
              <w:jc w:val="start"/>
              <w:rPr>
                <w:rFonts w:ascii="Arial" w:hAnsi="Arial" w:cs="Arial"/>
                <w:sz w:val="24"/>
              </w:rPr>
            </w:pPr>
            <w:r>
              <w:rPr>
                <w:rFonts w:cs="Arial" w:ascii="Arial" w:hAnsi="Arial"/>
                <w:sz w:val="24"/>
              </w:rPr>
              <w:t xml:space="preserve">CIPCO will finance and own the Plant through the term of the PSA and thereafter.  </w:t>
            </w:r>
          </w:p>
          <w:p>
            <w:pPr>
              <w:pStyle w:val="Normal"/>
              <w:jc w:val="start"/>
              <w:rPr>
                <w:rFonts w:ascii="Arial" w:hAnsi="Arial" w:cs="Arial"/>
                <w:sz w:val="24"/>
              </w:rPr>
            </w:pPr>
            <w:r>
              <w:rPr>
                <w:rFonts w:cs="Arial" w:ascii="Arial" w:hAnsi="Arial"/>
                <w:sz w:val="24"/>
              </w:rPr>
            </w:r>
          </w:p>
        </w:tc>
      </w:tr>
    </w:tbl>
    <w:p>
      <w:pPr>
        <w:pStyle w:val="Normal"/>
        <w:rPr/>
      </w:pPr>
      <w:r>
        <w:br w:type="page"/>
      </w:r>
      <w:r>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2070" w:type="dxa"/>
            <w:tcBorders>
              <w:top w:val="single" w:sz="12" w:space="0" w:color="000000"/>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top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Site</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It is contemplated that Plant will be constructed at CIPCO’s existing Summit Lake Station near Creston or other sites as mutually agreed.</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Electrical Interconnection</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The Plant will be interconnected into the existing transmission system at the plant site described above.  It is Enron’s understanding that there are four 161 Kv lines at the site.</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O&amp;M</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CIPCO will be responsible for the daily operation of the plant, performance of routine maintenance, and coordination of major maintenance.</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Permits</w:t>
            </w:r>
          </w:p>
        </w:tc>
        <w:tc>
          <w:tcPr>
            <w:tcW w:w="7470" w:type="dxa"/>
            <w:tcBorders>
              <w:end w:val="single" w:sz="12" w:space="0" w:color="000000"/>
            </w:tcBorders>
          </w:tcPr>
          <w:p>
            <w:pPr>
              <w:pStyle w:val="Heading9"/>
              <w:tabs>
                <w:tab w:val="clear" w:pos="720"/>
                <w:tab w:val="left" w:pos="1512" w:leader="none"/>
                <w:tab w:val="left" w:pos="3024" w:leader="none"/>
                <w:tab w:val="left" w:pos="4644" w:leader="none"/>
              </w:tabs>
              <w:ind w:hanging="0" w:start="0"/>
              <w:rPr/>
            </w:pPr>
            <w:r>
              <w:rPr/>
              <w:t xml:space="preserve">Air </w:t>
              <w:tab/>
              <w:t>Construction (Non- PSD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Title IV Permit (acid rain)</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Title V Operating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Water</w:t>
              <w:tab/>
              <w:t>Stormwater Construction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Stormwater/Wastewater Permit for Industrial Activities</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Other</w:t>
              <w:tab/>
              <w:t xml:space="preserve">Risk Management Plan (ammonia handling if SCR)       </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Various local, zoning and land usage permits</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1512" w:leader="none"/>
                <w:tab w:val="left" w:pos="3024" w:leader="none"/>
                <w:tab w:val="left" w:pos="4644" w:leader="none"/>
              </w:tabs>
              <w:jc w:val="start"/>
              <w:rPr/>
            </w:pPr>
            <w:r>
              <w:rPr>
                <w:rFonts w:cs="Arial" w:ascii="Arial" w:hAnsi="Arial"/>
                <w:sz w:val="24"/>
              </w:rPr>
              <w:t>Non-PSD Air Permit could be obtained instead of a PSD permit.  A non-PSD permit would limit the Plant to 250 tons of NO</w:t>
            </w:r>
            <w:r>
              <w:rPr>
                <w:rFonts w:cs="Arial" w:ascii="Arial" w:hAnsi="Arial"/>
                <w:sz w:val="24"/>
                <w:vertAlign w:val="subscript"/>
              </w:rPr>
              <w:t>X</w:t>
            </w:r>
            <w:r>
              <w:rPr>
                <w:rFonts w:cs="Arial" w:ascii="Arial" w:hAnsi="Arial"/>
                <w:sz w:val="24"/>
              </w:rPr>
              <w:t xml:space="preserve"> emissions per year.  The Plant would be designed without an SCR (25 PPM of NO</w:t>
            </w:r>
            <w:r>
              <w:rPr>
                <w:rFonts w:cs="Arial" w:ascii="Arial" w:hAnsi="Arial"/>
                <w:sz w:val="24"/>
                <w:vertAlign w:val="subscript"/>
              </w:rPr>
              <w:t>X</w:t>
            </w:r>
            <w:r>
              <w:rPr>
                <w:rFonts w:cs="Arial" w:ascii="Arial" w:hAnsi="Arial"/>
                <w:sz w:val="24"/>
              </w:rPr>
              <w:t>).  With a non-PSD permit, the PSA would include a scheduling limitation of 3,056 hours per year.</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Gas Supply</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A new four mile gas supply lateral will need to be constructed from the site to a mainline interconnect with Natural Gas Pipeline Company of America (“NGPL”).  Enron proposes to manage the construction of the gas supply lateral as well as manage the long-term fuel supply for the Plant.  A detailed fuel supply proposal will be presented at a later date.</w:t>
            </w:r>
          </w:p>
        </w:tc>
      </w:tr>
      <w:tr>
        <w:trPr/>
        <w:tc>
          <w:tcPr>
            <w:tcW w:w="2070" w:type="dxa"/>
            <w:tcBorders>
              <w:start w:val="single" w:sz="12" w:space="0" w:color="000000"/>
              <w:bottom w:val="single" w:sz="12" w:space="0" w:color="000000"/>
            </w:tcBorders>
          </w:tcPr>
          <w:p>
            <w:pPr>
              <w:pStyle w:val="Normal"/>
              <w:snapToGrid w:val="false"/>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 xml:space="preserve">Exclusions </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Assumptions</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tc>
        <w:tc>
          <w:tcPr>
            <w:tcW w:w="7470" w:type="dxa"/>
            <w:tcBorders>
              <w:bottom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 xml:space="preserve">Electric interconnect costs </w:t>
            </w:r>
          </w:p>
          <w:p>
            <w:pPr>
              <w:pStyle w:val="Normal"/>
              <w:jc w:val="start"/>
              <w:rPr>
                <w:rFonts w:ascii="Arial" w:hAnsi="Arial" w:cs="Arial"/>
                <w:sz w:val="24"/>
              </w:rPr>
            </w:pPr>
            <w:r>
              <w:rPr>
                <w:rFonts w:cs="Arial" w:ascii="Arial" w:hAnsi="Arial"/>
                <w:sz w:val="24"/>
              </w:rPr>
              <w:t>SCR</w:t>
            </w:r>
          </w:p>
          <w:p>
            <w:pPr>
              <w:pStyle w:val="Normal"/>
              <w:jc w:val="start"/>
              <w:rPr>
                <w:rFonts w:ascii="Arial" w:hAnsi="Arial" w:cs="Arial"/>
                <w:sz w:val="24"/>
              </w:rPr>
            </w:pPr>
            <w:r>
              <w:rPr>
                <w:rFonts w:cs="Arial" w:ascii="Arial" w:hAnsi="Arial"/>
                <w:sz w:val="24"/>
              </w:rPr>
              <w:t>Dual Fuel</w:t>
            </w:r>
          </w:p>
          <w:p>
            <w:pPr>
              <w:pStyle w:val="Normal"/>
              <w:jc w:val="start"/>
              <w:rPr>
                <w:rFonts w:ascii="Arial" w:hAnsi="Arial" w:cs="Arial"/>
                <w:sz w:val="24"/>
              </w:rPr>
            </w:pPr>
            <w:r>
              <w:rPr>
                <w:rFonts w:cs="Arial" w:ascii="Arial" w:hAnsi="Arial"/>
                <w:sz w:val="24"/>
              </w:rPr>
              <w:t>Black Start</w:t>
            </w:r>
          </w:p>
          <w:p>
            <w:pPr>
              <w:pStyle w:val="Normal"/>
              <w:jc w:val="start"/>
              <w:rPr>
                <w:rFonts w:ascii="Arial" w:hAnsi="Arial" w:cs="Arial"/>
                <w:sz w:val="24"/>
              </w:rPr>
            </w:pPr>
            <w:r>
              <w:rPr>
                <w:rFonts w:cs="Arial" w:ascii="Arial" w:hAnsi="Arial"/>
                <w:sz w:val="24"/>
              </w:rPr>
              <w:t>Spare Parts</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1,700 annual run hours (approximately 20% annual use)</w:t>
            </w:r>
          </w:p>
          <w:p>
            <w:pPr>
              <w:pStyle w:val="Normal"/>
              <w:jc w:val="start"/>
              <w:rPr>
                <w:rFonts w:ascii="Arial" w:hAnsi="Arial" w:cs="Arial"/>
                <w:sz w:val="24"/>
              </w:rPr>
            </w:pPr>
            <w:r>
              <w:rPr>
                <w:rFonts w:cs="Arial" w:ascii="Arial" w:hAnsi="Arial"/>
                <w:sz w:val="24"/>
              </w:rPr>
              <w:t>Gas pressure sufficient and no compression required</w:t>
            </w:r>
          </w:p>
          <w:p>
            <w:pPr>
              <w:pStyle w:val="Normal"/>
              <w:jc w:val="start"/>
              <w:rPr>
                <w:rFonts w:ascii="Arial" w:hAnsi="Arial" w:cs="Arial"/>
                <w:sz w:val="24"/>
              </w:rPr>
            </w:pPr>
            <w:r>
              <w:rPr>
                <w:rFonts w:cs="Arial" w:ascii="Arial" w:hAnsi="Arial"/>
                <w:sz w:val="24"/>
              </w:rPr>
            </w:r>
          </w:p>
        </w:tc>
      </w:tr>
    </w:tbl>
    <w:p>
      <w:pPr>
        <w:pStyle w:val="BodyText3"/>
        <w:numPr>
          <w:ilvl w:val="0"/>
          <w:numId w:val="0"/>
        </w:numPr>
        <w:rPr/>
      </w:pPr>
      <w:r>
        <w:br w:type="page"/>
      </w:r>
      <w:r>
        <w:rPr/>
      </w:r>
    </w:p>
    <w:p>
      <w:pPr>
        <w:sectPr>
          <w:footerReference w:type="default" r:id="rId2"/>
          <w:footerReference w:type="first" r:id="rId3"/>
          <w:type w:val="nextPage"/>
          <w:pgSz w:w="12240" w:h="15840"/>
          <w:pgMar w:left="1800" w:right="1260" w:gutter="0" w:header="0" w:top="900" w:footer="451" w:bottom="810"/>
          <w:pgNumType w:start="1" w:fmt="decimal"/>
          <w:formProt w:val="false"/>
          <w:titlePg/>
          <w:textDirection w:val="lrTb"/>
          <w:docGrid w:type="default" w:linePitch="360" w:charSpace="0"/>
        </w:sectPr>
      </w:pPr>
    </w:p>
    <w:p>
      <w:pPr>
        <w:pStyle w:val="BodyText3"/>
        <w:rPr>
          <w:i/>
          <w:i/>
        </w:rPr>
      </w:pPr>
      <w:r>
        <w:rPr>
          <w:i/>
        </w:rPr>
        <w:t>This Proposal is for discussion purposes only to facilitate the negotiation, preparation, and execution of definitive agreements relating to the Proposal.   This Proposal is subject to, in all respects, Enron and its affiliates and CIPCO obtaining all requisite approvals and consents from all interested parties to consummate the Proposal.   This Proposal is not intended to create a binding or enforceable contract or commitment by Enron, its affiliates or CIPCO. Consummation of any transaction is subject to, among other matters, the following conditions:  (i) receipt of all necessary or advisable regulatory or other approvals or consents, (ii) approval by the Boards of Directors of Enron and, if applicable, its affiliates, and (iii) negotiation, execution and delivery of definitive agreements relating to all aspects of the Proposal. While Enron North America Corp. is submitting this Proposal, certain of its proposed obligations herein may be assigned to, and performed by, various Enron Corp. affiliates.</w:t>
      </w:r>
    </w:p>
    <w:p>
      <w:pPr>
        <w:pStyle w:val="Normal"/>
        <w:rPr>
          <w:rFonts w:ascii="Arial" w:hAnsi="Arial" w:cs="Arial"/>
          <w:i/>
          <w:i/>
          <w:sz w:val="24"/>
        </w:rPr>
      </w:pPr>
      <w:r>
        <w:rPr>
          <w:rFonts w:cs="Arial" w:ascii="Arial" w:hAnsi="Arial"/>
          <w:i/>
          <w:sz w:val="24"/>
        </w:rPr>
      </w:r>
    </w:p>
    <w:sectPr>
      <w:type w:val="continuous"/>
      <w:pgSz w:w="12240" w:h="15840"/>
      <w:pgMar w:left="1800" w:right="1260" w:gutter="0" w:header="0" w:top="900" w:footer="451" w:bottom="81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8640"/>
        <w:tab w:val="center" w:pos="4320" w:leader="none"/>
      </w:tabs>
      <w:ind w:start="-540" w:end="-450"/>
      <w:rPr/>
    </w:pPr>
    <w:r>
      <w:rPr>
        <w:lang w:val="en-CA"/>
      </w:rPr>
      <w:drawing>
        <wp:inline distT="0" distB="0" distL="0" distR="0">
          <wp:extent cx="457200" cy="458470"/>
          <wp:effectExtent l="0" t="0" r="0" b="0"/>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rcRect l="-6" t="-6" r="-6" b="-6"/>
                  <a:stretch>
                    <a:fillRect/>
                  </a:stretch>
                </pic:blipFill>
                <pic:spPr bwMode="auto">
                  <a:xfrm>
                    <a:off x="0" y="0"/>
                    <a:ext cx="457200" cy="458470"/>
                  </a:xfrm>
                  <a:prstGeom prst="rect">
                    <a:avLst/>
                  </a:prstGeom>
                  <a:noFill/>
                </pic:spPr>
              </pic:pic>
            </a:graphicData>
          </a:graphic>
        </wp:inline>
      </w:drawing>
    </w:r>
    <w:r>
      <w:rPr>
        <w:rFonts w:eastAsia="Garamond"/>
        <w:lang w:val="en-CA"/>
      </w:rPr>
      <w:t xml:space="preserve">                                                                                                                                                </w:t>
    </w:r>
  </w:p>
  <w:p>
    <w:pPr>
      <w:pStyle w:val="Footer"/>
      <w:rPr/>
    </w:pPr>
    <w:r>
      <w:rPr/>
    </w:r>
  </w:p>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start="-540" w:end="-450"/>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Normal"/>
    <w:next w:val="Normal"/>
    <w:qFormat/>
    <w:pPr>
      <w:keepNext w:val="true"/>
      <w:numPr>
        <w:ilvl w:val="6"/>
        <w:numId w:val="1"/>
      </w:numPr>
      <w:jc w:val="center"/>
      <w:outlineLvl w:val="6"/>
    </w:pPr>
    <w:rPr>
      <w:rFonts w:ascii="Arial" w:hAnsi="Arial" w:cs="Arial"/>
      <w:b/>
      <w:i/>
      <w:color w:val="FFFF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FFFFFF"/>
      <w:sz w:val="24"/>
    </w:rPr>
  </w:style>
  <w:style w:type="paragraph" w:styleId="Heading9">
    <w:name w:val="heading 9"/>
    <w:basedOn w:val="Normal"/>
    <w:next w:val="Normal"/>
    <w:qFormat/>
    <w:pPr>
      <w:keepNext w:val="true"/>
      <w:numPr>
        <w:ilvl w:val="8"/>
        <w:numId w:val="1"/>
      </w:numPr>
      <w:jc w:val="start"/>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pPr>
    <w:rPr/>
  </w:style>
  <w:style w:type="paragraph" w:styleId="Signature">
    <w:name w:val="Signature"/>
    <w:basedOn w:val="Normal"/>
    <w:next w:val="SignatureJobTitle"/>
    <w:pPr>
      <w:keepNext w:val="true"/>
      <w:spacing w:lineRule="atLeast" w:line="240" w:before="880" w:after="0"/>
      <w:jc w:val="start"/>
    </w:pPr>
    <w:rPr/>
  </w:style>
  <w:style w:type="paragraph" w:styleId="CompanyName">
    <w:name w:val="Company Name"/>
    <w:basedOn w:val="BodyText"/>
    <w:next w:val="Date"/>
    <w:qFormat/>
    <w:pPr>
      <w:keepLines/>
      <w:spacing w:before="0" w:after="40"/>
      <w:jc w:val="center"/>
    </w:pPr>
    <w:rPr>
      <w:caps/>
      <w:spacing w:val="75"/>
      <w:sz w:val="21"/>
    </w:rPr>
  </w:style>
  <w:style w:type="paragraph" w:styleId="Date">
    <w:name w:val="Date"/>
    <w:basedOn w:val="Normal"/>
    <w:next w:val="InsideAddressName"/>
    <w:qFormat/>
    <w:pPr>
      <w:spacing w:before="0" w:after="22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tabs>
        <w:tab w:val="left" w:pos="720" w:leader="none"/>
      </w:tabs>
      <w:ind w:hanging="360" w:start="720" w:end="720"/>
    </w:pPr>
    <w:rPr/>
  </w:style>
  <w:style w:type="paragraph" w:styleId="ListNumber">
    <w:name w:val="List Number"/>
    <w:basedOn w:val="List"/>
    <w:qFormat/>
    <w:pPr>
      <w:numPr>
        <w:ilvl w:val="0"/>
        <w:numId w:val="4"/>
      </w:numPr>
      <w:tabs>
        <w:tab w:val="left" w:pos="720" w:leader="none"/>
      </w:tabs>
      <w:ind w:hanging="360" w:start="720" w:end="720"/>
    </w:pPr>
    <w:rPr/>
  </w:style>
  <w:style w:type="paragraph" w:styleId="BodyText2">
    <w:name w:val="Body Text 2"/>
    <w:basedOn w:val="Normal"/>
    <w:qFormat/>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start"/>
    </w:pPr>
    <w:rPr>
      <w:rFonts w:ascii="Times New Roman" w:hAnsi="Times New Roman" w:cs="Times New Roman"/>
      <w:kern w:val="0"/>
      <w:sz w:val="24"/>
    </w:rPr>
  </w:style>
  <w:style w:type="paragraph" w:styleId="BodyText3">
    <w:name w:val="Body Text 3"/>
    <w:basedOn w:val="Normal"/>
    <w:qFormat/>
    <w:pPr>
      <w:jc w:val="start"/>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1999-12-16T11:21:00Z</dcterms:created>
  <dc:creator>Michael Danielson</dc:creator>
  <dc:description/>
  <dc:language>en-CA</dc:language>
  <cp:lastModifiedBy>odalton</cp:lastModifiedBy>
  <cp:lastPrinted>1999-12-16T07:51:00Z</cp:lastPrinted>
  <dcterms:modified xsi:type="dcterms:W3CDTF">1999-12-16T11:35:00Z</dcterms:modified>
  <cp:revision>4</cp:revision>
  <dc:subject/>
  <dc:title>September 9, 1998</dc:title>
</cp:coreProperties>
</file>