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40"/>
        </w:rPr>
      </w:pPr>
      <w:r>
        <w:rPr>
          <w:rFonts w:cs="Arial" w:ascii="Arial" w:hAnsi="Arial"/>
          <w:b/>
          <w:sz w:val="40"/>
        </w:rPr>
      </w:r>
    </w:p>
    <w:p>
      <w:pPr>
        <w:pStyle w:val="Normal"/>
        <w:jc w:val="center"/>
        <w:rPr>
          <w:b/>
          <w:sz w:val="40"/>
        </w:rPr>
      </w:pPr>
      <w:r>
        <w:rPr>
          <w:b/>
          <w:sz w:val="40"/>
        </w:rPr>
      </w:r>
    </w:p>
    <w:p>
      <w:pPr>
        <w:pStyle w:val="Normal"/>
        <w:jc w:val="center"/>
        <w:rPr>
          <w:b/>
          <w:sz w:val="40"/>
        </w:rPr>
      </w:pPr>
      <w:r>
        <w:object w:dxaOrig="2025" w:dyaOrig="17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3.6pt;margin-top:257.95pt;width:101.25pt;height:85.5pt;mso-wrap-distance-left:9.05pt;mso-wrap-distance-right:9.05pt;mso-position-horizontal-relative:text;mso-position-vertical-relative:text" filled="f" o:ole="">
            <v:imagedata r:id="rId3" o:title=""/>
            <w10:wrap type="topAndBottom"/>
          </v:shape>
          <o:OLEObject Type="Embed" ProgID="" ShapeID="ole_rId2" DrawAspect="Content" ObjectID="_1603742288" r:id="rId2"/>
        </w:object>
      </w:r>
      <w:r>
        <w:rPr>
          <w:b/>
          <w:sz w:val="40"/>
        </w:rPr>
        <w:t>Wholesale Power Supply Proposal</w:t>
      </w:r>
    </w:p>
    <w:p>
      <w:pPr>
        <w:pStyle w:val="Normal"/>
        <w:rPr>
          <w:b/>
          <w:sz w:val="52"/>
        </w:rPr>
      </w:pPr>
      <w:r>
        <w:rPr>
          <w:b/>
          <w:sz w:val="52"/>
        </w:rPr>
      </w:r>
    </w:p>
    <w:p>
      <w:pPr>
        <w:pStyle w:val="Normal"/>
        <w:jc w:val="center"/>
        <w:rPr>
          <w:sz w:val="40"/>
        </w:rPr>
      </w:pPr>
      <w:r>
        <w:rPr>
          <w:sz w:val="40"/>
        </w:rPr>
      </w:r>
    </w:p>
    <w:p>
      <w:pPr>
        <w:pStyle w:val="Normal"/>
        <w:jc w:val="center"/>
        <w:rPr/>
      </w:pPr>
      <w:r>
        <w:rPr/>
        <w:t>Prepared for:</w:t>
      </w:r>
    </w:p>
    <w:p>
      <w:pPr>
        <w:pStyle w:val="Normal"/>
        <w:jc w:val="center"/>
        <w:rPr/>
      </w:pPr>
      <w:r>
        <w:rPr/>
      </w:r>
    </w:p>
    <w:p>
      <w:pPr>
        <w:pStyle w:val="Normal"/>
        <w:jc w:val="center"/>
        <w:rPr>
          <w:b/>
          <w:sz w:val="44"/>
        </w:rPr>
      </w:pPr>
      <w:r>
        <w:rPr>
          <w:b/>
          <w:sz w:val="44"/>
        </w:rPr>
      </w:r>
    </w:p>
    <w:p>
      <w:pPr>
        <w:pStyle w:val="Normal"/>
        <w:jc w:val="center"/>
        <w:rPr>
          <w:b/>
          <w:sz w:val="44"/>
        </w:rPr>
      </w:pPr>
      <w:r>
        <w:rPr>
          <w:b/>
          <w:sz w:val="44"/>
        </w:rPr>
      </w:r>
    </w:p>
    <w:p>
      <w:pPr>
        <w:pStyle w:val="Normal"/>
        <w:jc w:val="center"/>
        <w:rPr>
          <w:b/>
          <w:sz w:val="44"/>
        </w:rPr>
      </w:pPr>
      <w:r>
        <w:rPr>
          <w:b/>
          <w:sz w:val="44"/>
        </w:rPr>
        <w:t>Central Iowa Power Cooperative</w:t>
      </w:r>
    </w:p>
    <w:p>
      <w:pPr>
        <w:pStyle w:val="Normal"/>
        <w:jc w:val="center"/>
        <w:rPr>
          <w:b/>
          <w:sz w:val="32"/>
        </w:rPr>
      </w:pPr>
      <w:r>
        <w:rPr>
          <w:b/>
          <w:sz w:val="32"/>
        </w:rPr>
      </w:r>
    </w:p>
    <w:p>
      <w:pPr>
        <w:pStyle w:val="Normal"/>
        <w:jc w:val="center"/>
        <w:rPr>
          <w:b/>
          <w:sz w:val="40"/>
        </w:rPr>
      </w:pPr>
      <w:r>
        <w:rPr>
          <w:b/>
          <w:sz w:val="40"/>
        </w:rPr>
      </w:r>
    </w:p>
    <w:p>
      <w:pPr>
        <w:pStyle w:val="Normal"/>
        <w:jc w:val="center"/>
        <w:rPr>
          <w:sz w:val="40"/>
        </w:rPr>
      </w:pPr>
      <w:r>
        <w:rPr>
          <w:sz w:val="40"/>
        </w:rPr>
      </w:r>
    </w:p>
    <w:p>
      <w:pPr>
        <w:pStyle w:val="Normal"/>
        <w:jc w:val="center"/>
        <w:rPr>
          <w:sz w:val="40"/>
          <w:lang w:val="en-CA"/>
        </w:rPr>
      </w:pPr>
      <w:r>
        <w:rPr>
          <w:sz w:val="40"/>
          <w:lang w:val="en-CA"/>
        </w:rPr>
      </w:r>
    </w:p>
    <w:p>
      <w:pPr>
        <w:pStyle w:val="Normal"/>
        <w:jc w:val="center"/>
        <w:rPr>
          <w:sz w:val="40"/>
          <w:lang w:val="en-CA"/>
        </w:rPr>
      </w:pPr>
      <w:r>
        <w:rPr>
          <w:sz w:val="40"/>
          <w:lang w:val="en-CA"/>
        </w:rPr>
      </w:r>
    </w:p>
    <w:p>
      <w:pPr>
        <w:pStyle w:val="Normal"/>
        <w:jc w:val="center"/>
        <w:rPr>
          <w:sz w:val="40"/>
          <w:lang w:val="en-CA"/>
        </w:rPr>
      </w:pPr>
      <w:r>
        <w:rPr>
          <w:sz w:val="40"/>
          <w:lang w:val="en-CA"/>
        </w:rPr>
      </w:r>
    </w:p>
    <w:p>
      <w:pPr>
        <w:pStyle w:val="Normal"/>
        <w:jc w:val="center"/>
        <w:rPr>
          <w:sz w:val="40"/>
          <w:lang w:val="en-CA"/>
        </w:rPr>
      </w:pPr>
      <w:r>
        <w:rPr>
          <w:sz w:val="40"/>
          <w:lang w:val="en-CA"/>
        </w:rPr>
      </w:r>
    </w:p>
    <w:p>
      <w:pPr>
        <w:pStyle w:val="Normal"/>
        <w:jc w:val="center"/>
        <w:rPr/>
      </w:pPr>
      <w:r>
        <w:rPr/>
        <w:t>Submitted by:</w:t>
      </w:r>
    </w:p>
    <w:p>
      <w:pPr>
        <w:pStyle w:val="Normal"/>
        <w:jc w:val="center"/>
        <w:rPr/>
      </w:pPr>
      <w:r>
        <w:rPr/>
      </w:r>
    </w:p>
    <w:p>
      <w:pPr>
        <w:pStyle w:val="Normal"/>
        <w:jc w:val="center"/>
        <w:rPr>
          <w:b/>
          <w:sz w:val="32"/>
        </w:rPr>
      </w:pPr>
      <w:r>
        <w:rPr>
          <w:b/>
          <w:sz w:val="32"/>
        </w:rPr>
        <w:t>Enron North America Corp.</w:t>
      </w:r>
    </w:p>
    <w:p>
      <w:pPr>
        <w:pStyle w:val="Normal"/>
        <w:jc w:val="center"/>
        <w:rPr/>
      </w:pPr>
      <w:r>
        <w:rPr/>
        <w:t>1400 Smith Street</w:t>
      </w:r>
    </w:p>
    <w:p>
      <w:pPr>
        <w:pStyle w:val="Normal"/>
        <w:jc w:val="center"/>
        <w:rPr/>
      </w:pPr>
      <w:r>
        <w:rPr/>
        <w:t>Houston, TX  77002-7361</w:t>
      </w:r>
    </w:p>
    <w:p>
      <w:pPr>
        <w:pStyle w:val="Normal"/>
        <w:jc w:val="center"/>
        <w:rPr/>
      </w:pPr>
      <w:r>
        <w:rPr/>
      </w:r>
    </w:p>
    <w:p>
      <w:pPr>
        <w:pStyle w:val="Normal"/>
        <w:jc w:val="center"/>
        <w:rPr/>
      </w:pPr>
      <w:r>
        <w:rPr/>
        <w:t>April 28, 2000</w:t>
      </w:r>
    </w:p>
    <w:p>
      <w:pPr>
        <w:pStyle w:val="Normal"/>
        <w:jc w:val="center"/>
        <w:rPr>
          <w:b/>
          <w:i/>
          <w:i/>
          <w:color w:val="FF0000"/>
        </w:rPr>
      </w:pPr>
      <w:r>
        <w:rPr>
          <w:b/>
          <w:i/>
          <w:color w:val="FF0000"/>
        </w:rPr>
      </w:r>
    </w:p>
    <w:p>
      <w:pPr>
        <w:pStyle w:val="Normal"/>
        <w:jc w:val="center"/>
        <w:rPr>
          <w:rFonts w:ascii="Arial" w:hAnsi="Arial" w:cs="Arial"/>
          <w:sz w:val="24"/>
        </w:rPr>
      </w:pPr>
      <w:r>
        <w:rPr>
          <w:b/>
          <w:i/>
          <w:color w:val="FF0000"/>
        </w:rPr>
        <w:t>Trade Secret Information and Confidential</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April 28, 2000</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r>
    </w:p>
    <w:p>
      <w:pPr>
        <w:pStyle w:val="InsideAddress"/>
        <w:jc w:val="start"/>
        <w:rPr>
          <w:rFonts w:ascii="Arial" w:hAnsi="Arial" w:cs="Arial"/>
          <w:sz w:val="24"/>
        </w:rPr>
      </w:pPr>
      <w:r>
        <w:rPr>
          <w:rFonts w:cs="Arial" w:ascii="Arial" w:hAnsi="Arial"/>
          <w:sz w:val="24"/>
        </w:rPr>
        <w:t>Mr.  David K. Duncan</w:t>
      </w:r>
    </w:p>
    <w:p>
      <w:pPr>
        <w:pStyle w:val="InsideAddress"/>
        <w:jc w:val="start"/>
        <w:rPr>
          <w:rFonts w:ascii="Arial" w:hAnsi="Arial" w:cs="Arial"/>
          <w:sz w:val="24"/>
        </w:rPr>
      </w:pPr>
      <w:r>
        <w:rPr>
          <w:rFonts w:cs="Arial" w:ascii="Arial" w:hAnsi="Arial"/>
          <w:sz w:val="24"/>
        </w:rPr>
        <w:t>Manager Resource Planning</w:t>
      </w:r>
    </w:p>
    <w:p>
      <w:pPr>
        <w:pStyle w:val="InsideAddress"/>
        <w:jc w:val="start"/>
        <w:rPr>
          <w:rFonts w:ascii="Arial" w:hAnsi="Arial" w:cs="Arial"/>
          <w:sz w:val="24"/>
        </w:rPr>
      </w:pPr>
      <w:r>
        <w:rPr>
          <w:rFonts w:cs="Arial" w:ascii="Arial" w:hAnsi="Arial"/>
          <w:sz w:val="24"/>
        </w:rPr>
        <w:t>Central Iowa Power Cooperative</w:t>
      </w:r>
    </w:p>
    <w:p>
      <w:pPr>
        <w:pStyle w:val="InsideAddress"/>
        <w:jc w:val="start"/>
        <w:rPr>
          <w:rFonts w:ascii="Arial" w:hAnsi="Arial" w:cs="Arial"/>
          <w:sz w:val="24"/>
        </w:rPr>
      </w:pPr>
      <w:r>
        <w:rPr>
          <w:rFonts w:cs="Arial" w:ascii="Arial" w:hAnsi="Arial"/>
          <w:sz w:val="24"/>
        </w:rPr>
        <w:t>1400 Highway 13 SE</w:t>
      </w:r>
    </w:p>
    <w:p>
      <w:pPr>
        <w:pStyle w:val="InsideAddress"/>
        <w:jc w:val="start"/>
        <w:rPr>
          <w:rFonts w:ascii="Arial" w:hAnsi="Arial" w:cs="Arial"/>
          <w:sz w:val="24"/>
        </w:rPr>
      </w:pPr>
      <w:r>
        <w:rPr>
          <w:rFonts w:cs="Arial" w:ascii="Arial" w:hAnsi="Arial"/>
          <w:sz w:val="24"/>
        </w:rPr>
        <w:t>Cedar Rapids, IA  52403-9803</w:t>
      </w:r>
    </w:p>
    <w:p>
      <w:pPr>
        <w:pStyle w:val="InsideAddress"/>
        <w:jc w:val="start"/>
        <w:rPr>
          <w:rFonts w:ascii="Arial" w:hAnsi="Arial" w:cs="Arial"/>
          <w:sz w:val="24"/>
        </w:rPr>
      </w:pPr>
      <w:r>
        <w:rPr>
          <w:rFonts w:cs="Arial" w:ascii="Arial" w:hAnsi="Arial"/>
          <w:sz w:val="24"/>
        </w:rPr>
      </w:r>
    </w:p>
    <w:p>
      <w:pPr>
        <w:pStyle w:val="InsideAddress"/>
        <w:jc w:val="start"/>
        <w:rPr>
          <w:rFonts w:ascii="Arial" w:hAnsi="Arial" w:cs="Arial"/>
          <w:sz w:val="24"/>
        </w:rPr>
      </w:pPr>
      <w:r>
        <w:rPr>
          <w:rFonts w:cs="Arial" w:ascii="Arial" w:hAnsi="Arial"/>
          <w:sz w:val="24"/>
        </w:rPr>
      </w:r>
    </w:p>
    <w:p>
      <w:pPr>
        <w:pStyle w:val="Normal"/>
        <w:jc w:val="start"/>
        <w:rPr>
          <w:rFonts w:ascii="Arial" w:hAnsi="Arial" w:cs="Arial"/>
          <w:b/>
          <w:i/>
          <w:i/>
          <w:sz w:val="24"/>
        </w:rPr>
      </w:pPr>
      <w:r>
        <w:rPr>
          <w:rFonts w:cs="Arial" w:ascii="Arial" w:hAnsi="Arial"/>
          <w:b/>
          <w:i/>
          <w:sz w:val="24"/>
        </w:rPr>
        <w:t>Re:</w:t>
        <w:tab/>
        <w:t>Power Supply Proposal</w:t>
      </w:r>
    </w:p>
    <w:p>
      <w:pPr>
        <w:pStyle w:val="Normal"/>
        <w:jc w:val="start"/>
        <w:rPr>
          <w:rFonts w:ascii="Arial" w:hAnsi="Arial" w:cs="Arial"/>
          <w:b/>
          <w:i/>
          <w:i/>
          <w:sz w:val="24"/>
        </w:rPr>
      </w:pPr>
      <w:r>
        <w:rPr>
          <w:rFonts w:cs="Arial" w:ascii="Arial" w:hAnsi="Arial"/>
          <w:b/>
          <w:i/>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Dear Mr. Duncan:</w:t>
      </w:r>
    </w:p>
    <w:p>
      <w:pPr>
        <w:pStyle w:val="BodyText2"/>
        <w:jc w:val="start"/>
        <w:rPr>
          <w:rFonts w:ascii="Arial" w:hAnsi="Arial" w:cs="Arial"/>
          <w:sz w:val="24"/>
        </w:rPr>
      </w:pPr>
      <w:r>
        <w:rPr>
          <w:rFonts w:cs="Arial"/>
          <w:sz w:val="24"/>
        </w:rPr>
      </w:r>
    </w:p>
    <w:p>
      <w:pPr>
        <w:pStyle w:val="BodyText2"/>
        <w:jc w:val="start"/>
        <w:rPr/>
      </w:pPr>
      <w:r>
        <w:rPr/>
      </w:r>
    </w:p>
    <w:p>
      <w:pPr>
        <w:pStyle w:val="BodyText2"/>
        <w:jc w:val="start"/>
        <w:rPr/>
      </w:pPr>
      <w:r>
        <w:rPr/>
        <w:t>In response to Central Iowa Power Cooperative (“CIPCO”) Request For Porposal dated April 7, 2000, the attached proposal outlines the basic parameters for a transaction between Enron North America (“Enron”) and CIPCO.</w:t>
      </w:r>
    </w:p>
    <w:p>
      <w:pPr>
        <w:pStyle w:val="BodyText2"/>
        <w:jc w:val="start"/>
        <w:rPr>
          <w:rFonts w:eastAsia="Arial"/>
        </w:rPr>
      </w:pPr>
      <w:r>
        <w:rPr>
          <w:rFonts w:eastAsia="Arial"/>
        </w:rPr>
        <w:t xml:space="preserve"> </w:t>
      </w:r>
    </w:p>
    <w:p>
      <w:pPr>
        <w:pStyle w:val="BodyText2"/>
        <w:jc w:val="start"/>
        <w:rPr/>
      </w:pPr>
      <w:r>
        <w:rPr/>
        <w:t>The proposal is intended to initiate further discussion and demonstrate Enron’s willingness to partner with CIPCO.  Key elements of the proposal include:</w:t>
      </w:r>
    </w:p>
    <w:p>
      <w:pPr>
        <w:pStyle w:val="BodyText2"/>
        <w:jc w:val="start"/>
        <w:rPr/>
      </w:pPr>
      <w:r>
        <w:rPr/>
      </w:r>
    </w:p>
    <w:p>
      <w:pPr>
        <w:pStyle w:val="Normal"/>
        <w:jc w:val="start"/>
        <w:rPr>
          <w:rFonts w:ascii="Arial" w:hAnsi="Arial" w:cs="Arial"/>
          <w:sz w:val="24"/>
        </w:rPr>
      </w:pPr>
      <w:r>
        <w:rPr>
          <w:rFonts w:cs="Arial" w:ascii="Arial" w:hAnsi="Arial"/>
          <w:sz w:val="24"/>
        </w:rPr>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plant will be based on two General Electric 7EA’s in simple cycle mode.</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Commissioning the facility on 5/1/01, prior to CIPCO’s peaking capacity needs creates savings, decreases CIPCO’s all-in cost and construction risk.</w:t>
      </w:r>
    </w:p>
    <w:p>
      <w:pPr>
        <w:pStyle w:val="Normal"/>
        <w:numPr>
          <w:ilvl w:val="0"/>
          <w:numId w:val="2"/>
        </w:numPr>
        <w:tabs>
          <w:tab w:val="clear" w:pos="720"/>
        </w:tabs>
        <w:ind w:hanging="360" w:start="720" w:end="360"/>
        <w:jc w:val="start"/>
        <w:rPr>
          <w:rFonts w:ascii="Arial" w:hAnsi="Arial" w:cs="Arial"/>
          <w:i/>
          <w:i/>
          <w:sz w:val="24"/>
        </w:rPr>
      </w:pPr>
      <w:r>
        <w:rPr>
          <w:rFonts w:cs="Arial" w:ascii="Arial" w:hAnsi="Arial"/>
          <w:i/>
          <w:sz w:val="24"/>
        </w:rPr>
        <w:t>The output of the plant is within the tolerance of the site and would require minimum transmission improvements.</w:t>
      </w:r>
    </w:p>
    <w:p>
      <w:pPr>
        <w:pStyle w:val="Normal"/>
        <w:jc w:val="start"/>
        <w:rPr>
          <w:rFonts w:ascii="Arial" w:hAnsi="Arial" w:cs="Arial"/>
          <w:i/>
          <w:i/>
          <w:sz w:val="24"/>
        </w:rPr>
      </w:pPr>
      <w:r>
        <w:rPr>
          <w:rFonts w:cs="Arial" w:ascii="Arial" w:hAnsi="Arial"/>
          <w:i/>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 xml:space="preserve">Please note that Enron considers all information presented in this proposal as Trade Secret Information.  I will call in a few days to follow-up on questions you may have. </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tab/>
        <w:t>Sincerely,</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ab/>
        <w:tab/>
        <w:tab/>
        <w:tab/>
        <w:tab/>
        <w:t>Oscar Dalton</w:t>
      </w:r>
    </w:p>
    <w:p>
      <w:pPr>
        <w:pStyle w:val="Normal"/>
        <w:jc w:val="start"/>
        <w:rPr>
          <w:rFonts w:ascii="Arial" w:hAnsi="Arial" w:cs="Arial"/>
          <w:sz w:val="24"/>
        </w:rPr>
      </w:pPr>
      <w:r>
        <w:rPr>
          <w:rFonts w:cs="Arial" w:ascii="Arial" w:hAnsi="Arial"/>
          <w:sz w:val="24"/>
        </w:rPr>
        <w:tab/>
        <w:tab/>
        <w:tab/>
        <w:tab/>
        <w:tab/>
        <w:t>Director</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9540" w:type="dxa"/>
            <w:gridSpan w:val="2"/>
            <w:tcBorders>
              <w:top w:val="single" w:sz="12" w:space="0" w:color="000000"/>
              <w:start w:val="single" w:sz="12" w:space="0" w:color="000000"/>
              <w:end w:val="single" w:sz="12" w:space="0" w:color="000000"/>
            </w:tcBorders>
            <w:shd w:fill="000000" w:val="clear"/>
          </w:tcPr>
          <w:p>
            <w:pPr>
              <w:pStyle w:val="Heading7"/>
              <w:snapToGrid w:val="false"/>
              <w:ind w:hanging="0" w:start="0"/>
              <w:rPr>
                <w:i w:val="false"/>
                <w:i w:val="false"/>
              </w:rPr>
            </w:pPr>
            <w:r>
              <w:rPr>
                <w:i w:val="false"/>
              </w:rPr>
            </w:r>
          </w:p>
        </w:tc>
      </w:tr>
      <w:tr>
        <w:trPr/>
        <w:tc>
          <w:tcPr>
            <w:tcW w:w="9540" w:type="dxa"/>
            <w:gridSpan w:val="2"/>
            <w:tcBorders>
              <w:start w:val="single" w:sz="12" w:space="0" w:color="000000"/>
              <w:end w:val="single" w:sz="12" w:space="0" w:color="000000"/>
            </w:tcBorders>
            <w:shd w:fill="000000" w:val="clear"/>
          </w:tcPr>
          <w:p>
            <w:pPr>
              <w:pStyle w:val="Heading7"/>
              <w:ind w:hanging="0" w:start="0"/>
              <w:rPr>
                <w:i w:val="false"/>
                <w:i w:val="false"/>
                <w:sz w:val="28"/>
              </w:rPr>
            </w:pPr>
            <w:r>
              <w:rPr>
                <w:i w:val="false"/>
                <w:sz w:val="28"/>
              </w:rPr>
              <w:t>Power Supply Proposal</w:t>
            </w:r>
          </w:p>
        </w:tc>
      </w:tr>
      <w:tr>
        <w:trPr/>
        <w:tc>
          <w:tcPr>
            <w:tcW w:w="9540" w:type="dxa"/>
            <w:gridSpan w:val="2"/>
            <w:tcBorders>
              <w:start w:val="single" w:sz="12" w:space="0" w:color="000000"/>
              <w:end w:val="single" w:sz="12" w:space="0" w:color="000000"/>
            </w:tcBorders>
            <w:shd w:fill="000000" w:val="clear"/>
          </w:tcPr>
          <w:p>
            <w:pPr>
              <w:pStyle w:val="Heading7"/>
              <w:snapToGrid w:val="false"/>
              <w:ind w:hanging="0" w:start="0"/>
              <w:rPr>
                <w:rFonts w:ascii="Arial" w:hAnsi="Arial" w:cs="Arial"/>
                <w:b/>
                <w:i w:val="false"/>
                <w:i w:val="false"/>
                <w:color w:val="FFFFFF"/>
                <w:sz w:val="28"/>
              </w:rPr>
            </w:pPr>
            <w:r>
              <w:rPr>
                <w:rFonts w:cs="Arial"/>
                <w:b/>
                <w:i w:val="false"/>
                <w:color w:val="FFFFFF"/>
                <w:sz w:val="28"/>
              </w:rPr>
            </w:r>
          </w:p>
        </w:tc>
      </w:tr>
      <w:tr>
        <w:trPr/>
        <w:tc>
          <w:tcPr>
            <w:tcW w:w="2070" w:type="dxa"/>
            <w:tcBorders>
              <w:top w:val="single" w:sz="12" w:space="0" w:color="000000"/>
              <w:start w:val="single" w:sz="12" w:space="0" w:color="000000"/>
            </w:tcBorders>
          </w:tcPr>
          <w:p>
            <w:pPr>
              <w:pStyle w:val="Normal"/>
              <w:snapToGrid w:val="false"/>
              <w:jc w:val="start"/>
              <w:rPr>
                <w:rFonts w:ascii="Arial" w:hAnsi="Arial" w:cs="Arial"/>
                <w:b/>
                <w:i w:val="false"/>
                <w:i w:val="false"/>
                <w:sz w:val="24"/>
              </w:rPr>
            </w:pPr>
            <w:r>
              <w:rPr>
                <w:rFonts w:cs="Arial" w:ascii="Arial" w:hAnsi="Arial"/>
                <w:b/>
                <w:i w:val="false"/>
                <w:sz w:val="24"/>
              </w:rPr>
            </w:r>
          </w:p>
        </w:tc>
        <w:tc>
          <w:tcPr>
            <w:tcW w:w="7470" w:type="dxa"/>
            <w:tcBorders>
              <w:top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Overview</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Enron North America Corp. (“Enron”) and Central Iowa Power Cooperative (“CIPCO”) will develop a simple-cycle power generating station (“the Plant”) to serve the needs of both companies.  Enron will construct the plant and CIPCO will finance, own and operate.</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Plant Description</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The Plant will be based on 2 gas-fired General Electric 7EA combustion turbines installed in simple-cycle configuration.  Construction will begin in September 2000, turbines will be delivered in November 2000 and the plant will be commissioned in May 2001.</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Enron reserves the right to substitute turbines as long as the overall economics of the project are not impacted.</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Operating</w:t>
            </w:r>
          </w:p>
          <w:p>
            <w:pPr>
              <w:pStyle w:val="Normal"/>
              <w:jc w:val="start"/>
              <w:rPr>
                <w:rFonts w:ascii="Arial" w:hAnsi="Arial" w:cs="Arial"/>
                <w:b/>
                <w:sz w:val="24"/>
              </w:rPr>
            </w:pPr>
            <w:r>
              <w:rPr>
                <w:rFonts w:cs="Arial" w:ascii="Arial" w:hAnsi="Arial"/>
                <w:b/>
                <w:sz w:val="24"/>
              </w:rPr>
              <w:t>Characteristics</w:t>
            </w:r>
          </w:p>
          <w:p>
            <w:pPr>
              <w:pStyle w:val="Normal"/>
              <w:jc w:val="start"/>
              <w:rPr/>
            </w:pPr>
            <w:r>
              <w:rPr>
                <w:rFonts w:cs="Arial" w:ascii="Arial" w:hAnsi="Arial"/>
                <w:b/>
                <w:sz w:val="24"/>
              </w:rPr>
              <w:t>(90</w:t>
            </w:r>
            <w:r>
              <w:rPr>
                <w:rFonts w:eastAsia="Symbol" w:cs="Symbol" w:ascii="Symbol" w:hAnsi="Symbol"/>
                <w:b/>
                <w:sz w:val="24"/>
              </w:rPr>
              <w:sym w:font="Symbol" w:char="f0b0"/>
            </w:r>
            <w:r>
              <w:rPr>
                <w:rFonts w:cs="Arial" w:ascii="Arial" w:hAnsi="Arial"/>
                <w:b/>
                <w:sz w:val="24"/>
              </w:rPr>
              <w:t xml:space="preserve"> F)</w:t>
            </w:r>
          </w:p>
        </w:tc>
        <w:tc>
          <w:tcPr>
            <w:tcW w:w="7470" w:type="dxa"/>
            <w:tcBorders>
              <w:end w:val="single" w:sz="12" w:space="0" w:color="000000"/>
            </w:tcBorders>
          </w:tcPr>
          <w:p>
            <w:pPr>
              <w:pStyle w:val="Heading9"/>
              <w:tabs>
                <w:tab w:val="clear" w:pos="720"/>
                <w:tab w:val="left" w:pos="2142" w:leader="none"/>
                <w:tab w:val="left" w:pos="3492" w:leader="none"/>
              </w:tabs>
              <w:ind w:hanging="0" w:start="0"/>
              <w:rPr/>
            </w:pPr>
            <w:r>
              <w:rPr/>
              <w:t>Output</w:t>
              <w:tab/>
              <w:t>152 Mw</w:t>
            </w:r>
          </w:p>
          <w:p>
            <w:pPr>
              <w:pStyle w:val="Heading9"/>
              <w:tabs>
                <w:tab w:val="clear" w:pos="720"/>
                <w:tab w:val="left" w:pos="2142" w:leader="none"/>
                <w:tab w:val="left" w:pos="3492" w:leader="none"/>
              </w:tabs>
              <w:ind w:hanging="0" w:start="0"/>
              <w:rPr/>
            </w:pPr>
            <w:r>
              <w:rPr/>
              <w:t>Heat rate (HHV)</w:t>
              <w:tab/>
              <w:t>12,064 Btu/kWh</w:t>
            </w:r>
          </w:p>
          <w:p>
            <w:pPr>
              <w:pStyle w:val="Normal"/>
              <w:tabs>
                <w:tab w:val="clear" w:pos="720"/>
                <w:tab w:val="left" w:pos="2142" w:leader="none"/>
                <w:tab w:val="left" w:pos="3582" w:leader="none"/>
              </w:tabs>
              <w:jc w:val="start"/>
              <w:rPr>
                <w:rFonts w:ascii="Arial" w:hAnsi="Arial" w:cs="Arial"/>
                <w:sz w:val="24"/>
              </w:rPr>
            </w:pPr>
            <w:r>
              <w:rPr>
                <w:rFonts w:cs="Arial" w:ascii="Arial" w:hAnsi="Arial"/>
                <w:sz w:val="24"/>
              </w:rPr>
              <w:t>Emissions</w:t>
              <w:tab/>
              <w:t>25 PPM NO</w:t>
            </w:r>
            <w:r>
              <w:rPr>
                <w:rFonts w:cs="Arial" w:ascii="Arial" w:hAnsi="Arial"/>
                <w:sz w:val="24"/>
                <w:vertAlign w:val="subscript"/>
              </w:rPr>
              <w:t>X</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EPC</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Enron will be responsible for engineering, procurement and construction or as mutually negotiated.</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 xml:space="preserve">Power Sales </w:t>
            </w:r>
          </w:p>
          <w:p>
            <w:pPr>
              <w:pStyle w:val="Normal"/>
              <w:jc w:val="start"/>
              <w:rPr>
                <w:rFonts w:ascii="Arial" w:hAnsi="Arial" w:cs="Arial"/>
                <w:b/>
                <w:sz w:val="24"/>
              </w:rPr>
            </w:pPr>
            <w:r>
              <w:rPr>
                <w:rFonts w:cs="Arial" w:ascii="Arial" w:hAnsi="Arial"/>
                <w:b/>
                <w:sz w:val="24"/>
              </w:rPr>
              <w:t>Agreement</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PSA Schedule</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Project Economics</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CIPCO will execute a power sales agreement (“PSA”) with Enron for the output of the Plant.  The PSA will permit Enron to schedule all of the capacity of the Plant with typical scheduling requirements and operating constraints. Enron will be responsible for marketing all capacity and energy not contracted by CIPCO.</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t>Show the schedule here….assume start 5/1/01 and out for 5 summer periods.</w:t>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t>Enron will guarantee overall project economics for CIPCO at $375/kW or $57,000,000 for the completely installed project (“Installed Project Cost”).  The Installed Project Cost could be nominally decreased by approximately ??????? over the life of the PSA via the payment by ENA to CIPCO for a capacity charge pursuant to the negotiation of a PSA.  An initial indication of the PSA value is ????? for the term May 1, 2001 through ?????? and is subject to change daily based on market conditions.</w:t>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p>
            <w:pPr>
              <w:pStyle w:val="Normal"/>
              <w:tabs>
                <w:tab w:val="clear" w:pos="720"/>
                <w:tab w:val="left" w:pos="414" w:leader="none"/>
                <w:tab w:val="left" w:pos="4302" w:leader="none"/>
              </w:tabs>
              <w:jc w:val="start"/>
              <w:rPr>
                <w:rFonts w:ascii="Arial" w:hAnsi="Arial" w:cs="Arial"/>
                <w:sz w:val="24"/>
              </w:rPr>
            </w:pPr>
            <w:r>
              <w:rPr>
                <w:rFonts w:cs="Arial" w:ascii="Arial" w:hAnsi="Arial"/>
                <w:sz w:val="24"/>
              </w:rPr>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bottom w:val="single" w:sz="12" w:space="0" w:color="000000"/>
            </w:tcBorders>
          </w:tcPr>
          <w:p>
            <w:pPr>
              <w:pStyle w:val="Footer"/>
              <w:tabs>
                <w:tab w:val="clear" w:pos="8640"/>
                <w:tab w:val="center" w:pos="4320" w:leader="none"/>
              </w:tabs>
              <w:ind w:end="-450"/>
              <w:jc w:val="start"/>
              <w:rPr>
                <w:rFonts w:ascii="Arial" w:hAnsi="Arial" w:cs="Arial"/>
                <w:b/>
                <w:sz w:val="24"/>
              </w:rPr>
            </w:pPr>
            <w:r>
              <w:rPr>
                <w:rFonts w:cs="Arial" w:ascii="Arial" w:hAnsi="Arial"/>
                <w:b/>
                <w:sz w:val="24"/>
              </w:rPr>
              <w:t>Financing</w:t>
            </w:r>
          </w:p>
          <w:p>
            <w:pPr>
              <w:pStyle w:val="Footer"/>
              <w:tabs>
                <w:tab w:val="clear" w:pos="8640"/>
                <w:tab w:val="center" w:pos="4320" w:leader="none"/>
              </w:tabs>
              <w:ind w:end="-450"/>
              <w:jc w:val="start"/>
              <w:rPr>
                <w:rFonts w:ascii="Arial" w:hAnsi="Arial" w:cs="Arial"/>
                <w:b/>
                <w:sz w:val="24"/>
              </w:rPr>
            </w:pPr>
            <w:r>
              <w:rPr>
                <w:rFonts w:cs="Arial" w:ascii="Arial" w:hAnsi="Arial"/>
                <w:b/>
                <w:sz w:val="24"/>
              </w:rPr>
              <w:t>&amp; Ownership</w:t>
            </w:r>
          </w:p>
        </w:tc>
        <w:tc>
          <w:tcPr>
            <w:tcW w:w="7470" w:type="dxa"/>
            <w:tcBorders>
              <w:bottom w:val="single" w:sz="12" w:space="0" w:color="000000"/>
              <w:end w:val="single" w:sz="12" w:space="0" w:color="000000"/>
            </w:tcBorders>
          </w:tcPr>
          <w:p>
            <w:pPr>
              <w:pStyle w:val="Normal"/>
              <w:jc w:val="start"/>
              <w:rPr>
                <w:rFonts w:ascii="Arial" w:hAnsi="Arial" w:cs="Arial"/>
                <w:sz w:val="24"/>
              </w:rPr>
            </w:pPr>
            <w:r>
              <w:rPr>
                <w:rFonts w:cs="Arial" w:ascii="Arial" w:hAnsi="Arial"/>
                <w:sz w:val="24"/>
              </w:rPr>
              <w:t xml:space="preserve">CIPCO will finance and own the Plant through the term of the PSA and thereafter.  </w:t>
            </w:r>
          </w:p>
          <w:p>
            <w:pPr>
              <w:pStyle w:val="Normal"/>
              <w:jc w:val="start"/>
              <w:rPr>
                <w:rFonts w:ascii="Arial" w:hAnsi="Arial" w:cs="Arial"/>
                <w:sz w:val="24"/>
              </w:rPr>
            </w:pPr>
            <w:r>
              <w:rPr>
                <w:rFonts w:cs="Arial" w:ascii="Arial" w:hAnsi="Arial"/>
                <w:sz w:val="24"/>
              </w:rPr>
            </w:r>
          </w:p>
        </w:tc>
      </w:tr>
    </w:tbl>
    <w:p>
      <w:pPr>
        <w:pStyle w:val="Normal"/>
        <w:rPr/>
      </w:pPr>
      <w:r>
        <w:br w:type="page"/>
      </w:r>
      <w:r>
        <w:rPr/>
      </w:r>
    </w:p>
    <w:tbl>
      <w:tblPr>
        <w:tblW w:w="9540" w:type="dxa"/>
        <w:jc w:val="start"/>
        <w:tblInd w:w="-522" w:type="dxa"/>
        <w:tblLayout w:type="fixed"/>
        <w:tblCellMar>
          <w:top w:w="0" w:type="dxa"/>
          <w:start w:w="108" w:type="dxa"/>
          <w:bottom w:w="0" w:type="dxa"/>
          <w:end w:w="108" w:type="dxa"/>
        </w:tblCellMar>
      </w:tblPr>
      <w:tblGrid>
        <w:gridCol w:w="2070"/>
        <w:gridCol w:w="7470"/>
      </w:tblGrid>
      <w:tr>
        <w:trPr/>
        <w:tc>
          <w:tcPr>
            <w:tcW w:w="2070" w:type="dxa"/>
            <w:tcBorders>
              <w:top w:val="single" w:sz="12" w:space="0" w:color="000000"/>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top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Site</w:t>
            </w:r>
          </w:p>
        </w:tc>
        <w:tc>
          <w:tcPr>
            <w:tcW w:w="7470" w:type="dxa"/>
            <w:tcBorders>
              <w:end w:val="single" w:sz="12" w:space="0" w:color="000000"/>
            </w:tcBorders>
          </w:tcPr>
          <w:p>
            <w:pPr>
              <w:pStyle w:val="Normal"/>
              <w:jc w:val="start"/>
              <w:rPr>
                <w:rFonts w:ascii="Arial" w:hAnsi="Arial" w:cs="Arial"/>
                <w:sz w:val="24"/>
              </w:rPr>
            </w:pPr>
            <w:r>
              <w:rPr>
                <w:rFonts w:cs="Arial" w:ascii="Arial" w:hAnsi="Arial"/>
                <w:sz w:val="24"/>
              </w:rPr>
              <w:t>It is contemplated that Plant will be constructed at a site currently being secured by CIPCO.  As an alternative, Enron has secured development sites in Iowa including an existing site under option that would provide direct access to the CIPCO 115 Kv system as well as the 345 Kv system of Mid-Am.</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Electrical Interconnection</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The Plant will be interconnected into the existing transmission system at the plant site described above.</w:t>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O&amp;M</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CIPCO will be responsible for the daily operation of the plant, performance of routine maintenance, and coordination of major maintenance.</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Permits</w:t>
            </w:r>
          </w:p>
        </w:tc>
        <w:tc>
          <w:tcPr>
            <w:tcW w:w="7470" w:type="dxa"/>
            <w:tcBorders>
              <w:end w:val="single" w:sz="12" w:space="0" w:color="000000"/>
            </w:tcBorders>
          </w:tcPr>
          <w:p>
            <w:pPr>
              <w:pStyle w:val="Heading9"/>
              <w:tabs>
                <w:tab w:val="clear" w:pos="720"/>
                <w:tab w:val="left" w:pos="1512" w:leader="none"/>
                <w:tab w:val="left" w:pos="3024" w:leader="none"/>
                <w:tab w:val="left" w:pos="4644" w:leader="none"/>
              </w:tabs>
              <w:ind w:hanging="0" w:start="0"/>
              <w:rPr/>
            </w:pPr>
            <w:r>
              <w:rPr/>
              <w:t xml:space="preserve">Air </w:t>
              <w:tab/>
              <w:t>Construction (Non- PSD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Title IV Permit (acid rain)</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Title V Operating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Water</w:t>
              <w:tab/>
              <w:t>Stormwater Construction Permit</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Stormwater/Wastewater Permit for Industrial Activities</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Other</w:t>
              <w:tab/>
              <w:t xml:space="preserve">Risk Management Plan (ammonia handling if SCR)       </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tab/>
              <w:tab/>
              <w:t>Various local, zoning and land usage permits</w:t>
            </w:r>
          </w:p>
          <w:p>
            <w:pPr>
              <w:pStyle w:val="Normal"/>
              <w:tabs>
                <w:tab w:val="clear" w:pos="720"/>
                <w:tab w:val="left" w:pos="414" w:leader="none"/>
                <w:tab w:val="left" w:pos="1512" w:leader="none"/>
                <w:tab w:val="left" w:pos="3024" w:leader="none"/>
                <w:tab w:val="left" w:pos="4644" w:leader="none"/>
              </w:tabs>
              <w:jc w:val="start"/>
              <w:rPr>
                <w:rFonts w:ascii="Arial" w:hAnsi="Arial" w:cs="Arial"/>
                <w:sz w:val="24"/>
              </w:rPr>
            </w:pPr>
            <w:r>
              <w:rPr>
                <w:rFonts w:cs="Arial" w:ascii="Arial" w:hAnsi="Arial"/>
                <w:sz w:val="24"/>
              </w:rPr>
            </w:r>
          </w:p>
          <w:p>
            <w:pPr>
              <w:pStyle w:val="Normal"/>
              <w:tabs>
                <w:tab w:val="clear" w:pos="720"/>
                <w:tab w:val="left" w:pos="414" w:leader="none"/>
                <w:tab w:val="left" w:pos="1512" w:leader="none"/>
                <w:tab w:val="left" w:pos="3024" w:leader="none"/>
                <w:tab w:val="left" w:pos="4644" w:leader="none"/>
              </w:tabs>
              <w:jc w:val="start"/>
              <w:rPr/>
            </w:pPr>
            <w:r>
              <w:rPr>
                <w:rFonts w:cs="Arial" w:ascii="Arial" w:hAnsi="Arial"/>
                <w:sz w:val="24"/>
              </w:rPr>
              <w:t>Non-PSD Air Permit could be obtained instead of a PSD permit.  A non-PSD permit would limit the Plant to 250 tons of NO</w:t>
            </w:r>
            <w:r>
              <w:rPr>
                <w:rFonts w:cs="Arial" w:ascii="Arial" w:hAnsi="Arial"/>
                <w:sz w:val="24"/>
                <w:vertAlign w:val="subscript"/>
              </w:rPr>
              <w:t>X</w:t>
            </w:r>
            <w:r>
              <w:rPr>
                <w:rFonts w:cs="Arial" w:ascii="Arial" w:hAnsi="Arial"/>
                <w:sz w:val="24"/>
              </w:rPr>
              <w:t xml:space="preserve"> emissions per year.  With a non-PSD permit, the PSA would include a scheduling limitation of 1,000 hours per year.</w:t>
            </w:r>
          </w:p>
        </w:tc>
      </w:tr>
      <w:tr>
        <w:trPr/>
        <w:tc>
          <w:tcPr>
            <w:tcW w:w="2070" w:type="dxa"/>
            <w:tcBorders>
              <w:start w:val="single" w:sz="12" w:space="0" w:color="000000"/>
            </w:tcBorders>
          </w:tcPr>
          <w:p>
            <w:pPr>
              <w:pStyle w:val="Normal"/>
              <w:snapToGrid w:val="false"/>
              <w:jc w:val="start"/>
              <w:rPr>
                <w:rFonts w:ascii="Arial" w:hAnsi="Arial" w:cs="Arial"/>
                <w:b/>
                <w:sz w:val="24"/>
              </w:rPr>
            </w:pPr>
            <w:r>
              <w:rPr>
                <w:rFonts w:cs="Arial" w:ascii="Arial" w:hAnsi="Arial"/>
                <w:b/>
                <w:sz w:val="24"/>
              </w:rPr>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snapToGrid w:val="false"/>
              <w:jc w:val="start"/>
              <w:rPr>
                <w:rFonts w:ascii="Arial" w:hAnsi="Arial" w:cs="Arial"/>
                <w:b/>
                <w:sz w:val="24"/>
              </w:rPr>
            </w:pPr>
            <w:r>
              <w:rPr>
                <w:rFonts w:cs="Arial" w:ascii="Arial" w:hAnsi="Arial"/>
                <w:b/>
                <w:sz w:val="24"/>
              </w:rPr>
            </w:r>
          </w:p>
        </w:tc>
      </w:tr>
      <w:tr>
        <w:trPr/>
        <w:tc>
          <w:tcPr>
            <w:tcW w:w="2070" w:type="dxa"/>
            <w:tcBorders>
              <w:start w:val="single" w:sz="12" w:space="0" w:color="000000"/>
            </w:tcBorders>
          </w:tcPr>
          <w:p>
            <w:pPr>
              <w:pStyle w:val="Normal"/>
              <w:jc w:val="start"/>
              <w:rPr>
                <w:rFonts w:ascii="Arial" w:hAnsi="Arial" w:cs="Arial"/>
                <w:b/>
                <w:sz w:val="24"/>
              </w:rPr>
            </w:pPr>
            <w:r>
              <w:rPr>
                <w:rFonts w:cs="Arial" w:ascii="Arial" w:hAnsi="Arial"/>
                <w:b/>
                <w:sz w:val="24"/>
              </w:rPr>
              <w:t>Gas Supply</w:t>
            </w:r>
          </w:p>
        </w:tc>
        <w:tc>
          <w:tcPr>
            <w:tcW w:w="7470" w:type="dxa"/>
            <w:tcBorders>
              <w:end w:val="single" w:sz="12" w:space="0" w:color="000000"/>
            </w:tcBorders>
          </w:tcPr>
          <w:p>
            <w:pPr>
              <w:pStyle w:val="Normal"/>
              <w:tabs>
                <w:tab w:val="clear" w:pos="720"/>
                <w:tab w:val="left" w:pos="414" w:leader="none"/>
                <w:tab w:val="left" w:pos="3024" w:leader="none"/>
                <w:tab w:val="left" w:pos="4644" w:leader="none"/>
              </w:tabs>
              <w:jc w:val="start"/>
              <w:rPr>
                <w:rFonts w:ascii="Arial" w:hAnsi="Arial" w:cs="Arial"/>
                <w:sz w:val="24"/>
              </w:rPr>
            </w:pPr>
            <w:r>
              <w:rPr>
                <w:rFonts w:cs="Arial" w:ascii="Arial" w:hAnsi="Arial"/>
                <w:sz w:val="24"/>
              </w:rPr>
              <w:t>A new gas supply lateral will need to be constructed from the site to a mainline interconnect with an interstate natural gas pipeline company.  Enron’s site is approximately ½ mile from Northern Natural Gas Pipeline Company which is an Enron affiliate.  It is Enron’s understanding that the CIPCO site is also less than ½ mile from a major interstate pipeline company.  Enron proposes to manage the construction of the gas supply lateral as well as manage the long-term fuel supply for the Plant.  A detailed fuel supply proposal will be presented at a later date.</w:t>
            </w:r>
          </w:p>
        </w:tc>
      </w:tr>
      <w:tr>
        <w:trPr/>
        <w:tc>
          <w:tcPr>
            <w:tcW w:w="2070" w:type="dxa"/>
            <w:tcBorders>
              <w:start w:val="single" w:sz="12" w:space="0" w:color="000000"/>
              <w:bottom w:val="single" w:sz="12" w:space="0" w:color="000000"/>
            </w:tcBorders>
          </w:tcPr>
          <w:p>
            <w:pPr>
              <w:pStyle w:val="Normal"/>
              <w:snapToGrid w:val="false"/>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 xml:space="preserve">Exclusions </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t>Assumptions</w:t>
            </w:r>
          </w:p>
          <w:p>
            <w:pPr>
              <w:pStyle w:val="Normal"/>
              <w:jc w:val="start"/>
              <w:rPr>
                <w:rFonts w:ascii="Arial" w:hAnsi="Arial" w:cs="Arial"/>
                <w:b/>
                <w:sz w:val="24"/>
              </w:rPr>
            </w:pPr>
            <w:r>
              <w:rPr>
                <w:rFonts w:cs="Arial" w:ascii="Arial" w:hAnsi="Arial"/>
                <w:b/>
                <w:sz w:val="24"/>
              </w:rPr>
            </w:r>
          </w:p>
          <w:p>
            <w:pPr>
              <w:pStyle w:val="Normal"/>
              <w:jc w:val="start"/>
              <w:rPr>
                <w:rFonts w:ascii="Arial" w:hAnsi="Arial" w:cs="Arial"/>
                <w:b/>
                <w:sz w:val="24"/>
              </w:rPr>
            </w:pPr>
            <w:r>
              <w:rPr>
                <w:rFonts w:cs="Arial" w:ascii="Arial" w:hAnsi="Arial"/>
                <w:b/>
                <w:sz w:val="24"/>
              </w:rPr>
            </w:r>
          </w:p>
        </w:tc>
        <w:tc>
          <w:tcPr>
            <w:tcW w:w="7470" w:type="dxa"/>
            <w:tcBorders>
              <w:bottom w:val="single" w:sz="12" w:space="0" w:color="000000"/>
              <w:end w:val="single" w:sz="12" w:space="0" w:color="000000"/>
            </w:tcBorders>
          </w:tcPr>
          <w:p>
            <w:pPr>
              <w:pStyle w:val="Normal"/>
              <w:snapToGrid w:val="false"/>
              <w:jc w:val="start"/>
              <w:rPr>
                <w:rFonts w:ascii="Arial" w:hAnsi="Arial" w:cs="Arial"/>
                <w:b/>
                <w:sz w:val="24"/>
              </w:rPr>
            </w:pPr>
            <w:r>
              <w:rPr>
                <w:rFonts w:cs="Arial" w:ascii="Arial" w:hAnsi="Arial"/>
                <w:b/>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w:t>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r>
          </w:p>
          <w:p>
            <w:pPr>
              <w:pStyle w:val="Normal"/>
              <w:jc w:val="start"/>
              <w:rPr>
                <w:rFonts w:ascii="Arial" w:hAnsi="Arial" w:cs="Arial"/>
                <w:sz w:val="24"/>
              </w:rPr>
            </w:pPr>
            <w:r>
              <w:rPr>
                <w:rFonts w:cs="Arial" w:ascii="Arial" w:hAnsi="Arial"/>
                <w:sz w:val="24"/>
              </w:rPr>
              <w:t>900 annual run hours (approximately 5% annual use)</w:t>
            </w:r>
          </w:p>
          <w:p>
            <w:pPr>
              <w:pStyle w:val="Normal"/>
              <w:jc w:val="start"/>
              <w:rPr>
                <w:rFonts w:ascii="Arial" w:hAnsi="Arial" w:cs="Arial"/>
                <w:sz w:val="24"/>
              </w:rPr>
            </w:pPr>
            <w:r>
              <w:rPr>
                <w:rFonts w:cs="Arial" w:ascii="Arial" w:hAnsi="Arial"/>
                <w:sz w:val="24"/>
              </w:rPr>
              <w:t>Gas pressure sufficient and no compression required</w:t>
            </w:r>
          </w:p>
          <w:p>
            <w:pPr>
              <w:pStyle w:val="Normal"/>
              <w:jc w:val="start"/>
              <w:rPr>
                <w:rFonts w:ascii="Arial" w:hAnsi="Arial" w:cs="Arial"/>
                <w:sz w:val="24"/>
              </w:rPr>
            </w:pPr>
            <w:r>
              <w:rPr>
                <w:rFonts w:cs="Arial" w:ascii="Arial" w:hAnsi="Arial"/>
                <w:sz w:val="24"/>
              </w:rPr>
            </w:r>
          </w:p>
        </w:tc>
      </w:tr>
    </w:tbl>
    <w:p>
      <w:pPr>
        <w:pStyle w:val="BodyText3"/>
        <w:numPr>
          <w:ilvl w:val="0"/>
          <w:numId w:val="0"/>
        </w:numPr>
        <w:rPr/>
      </w:pPr>
      <w:r>
        <w:br w:type="page"/>
      </w:r>
      <w:r>
        <w:rPr/>
      </w:r>
    </w:p>
    <w:p>
      <w:pPr>
        <w:sectPr>
          <w:footerReference w:type="default" r:id="rId4"/>
          <w:footerReference w:type="first" r:id="rId5"/>
          <w:type w:val="nextPage"/>
          <w:pgSz w:w="12240" w:h="15840"/>
          <w:pgMar w:left="1800" w:right="1260" w:gutter="0" w:header="0" w:top="900" w:footer="451" w:bottom="810"/>
          <w:pgNumType w:start="1" w:fmt="decimal"/>
          <w:formProt w:val="false"/>
          <w:titlePg/>
          <w:textDirection w:val="lrTb"/>
          <w:docGrid w:type="default" w:linePitch="360" w:charSpace="0"/>
        </w:sectPr>
      </w:pPr>
    </w:p>
    <w:p>
      <w:pPr>
        <w:pStyle w:val="BodyText3"/>
        <w:rPr>
          <w:i/>
          <w:i/>
        </w:rPr>
      </w:pPr>
      <w:r>
        <w:rPr>
          <w:i/>
        </w:rPr>
        <w:t>This Proposal is for discussion purposes only to facilitate the negotiation, preparation, and execution of definitive agreements relating to the Proposal.   This Proposal is subject to, in all respects, Enron and its affiliates and CIPCO obtaining all requisite approvals and consents from all interested parties to consummate the Proposal.   This Proposal is not intended to create a binding or enforceable contract or commitment by Enron, its affiliates or CIPCO. Consummation of any transaction is subject to, among other matters, the following conditions:  (i) receipt of all necessary or advisable regulatory or other approvals or consents, (ii) approval by the Boards of Directors of Enron and, if applicable, its affiliates, and (iii) negotiation, execution and delivery of definitive agreements relating to all aspects of the Proposal. While Enron North America Corp. is submitting this Proposal, certain of its proposed obligations herein may be assigned to, and performed by, various Enron Corp. affiliates.</w:t>
      </w:r>
    </w:p>
    <w:p>
      <w:pPr>
        <w:pStyle w:val="Normal"/>
        <w:rPr>
          <w:rFonts w:ascii="Arial" w:hAnsi="Arial" w:cs="Arial"/>
          <w:i/>
          <w:i/>
          <w:sz w:val="24"/>
        </w:rPr>
      </w:pPr>
      <w:r>
        <w:rPr>
          <w:rFonts w:cs="Arial" w:ascii="Arial" w:hAnsi="Arial"/>
          <w:i/>
          <w:sz w:val="24"/>
        </w:rPr>
      </w:r>
    </w:p>
    <w:sectPr>
      <w:type w:val="continuous"/>
      <w:pgSz w:w="12240" w:h="15840"/>
      <w:pgMar w:left="1800" w:right="1260" w:gutter="0" w:header="0" w:top="900" w:footer="451" w:bottom="81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8640"/>
        <w:tab w:val="center" w:pos="4320" w:leader="none"/>
      </w:tabs>
      <w:ind w:start="-540" w:end="-450"/>
      <w:rPr/>
    </w:pPr>
    <w:r>
      <w:rPr>
        <w:lang w:val="en-CA"/>
      </w:rPr>
      <w:drawing>
        <wp:inline distT="0" distB="0" distL="0" distR="0">
          <wp:extent cx="457200" cy="458470"/>
          <wp:effectExtent l="0" t="0" r="0" b="0"/>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1"/>
                  <a:srcRect l="-6" t="-6" r="-6" b="-6"/>
                  <a:stretch>
                    <a:fillRect/>
                  </a:stretch>
                </pic:blipFill>
                <pic:spPr bwMode="auto">
                  <a:xfrm>
                    <a:off x="0" y="0"/>
                    <a:ext cx="457200" cy="458470"/>
                  </a:xfrm>
                  <a:prstGeom prst="rect">
                    <a:avLst/>
                  </a:prstGeom>
                  <a:noFill/>
                </pic:spPr>
              </pic:pic>
            </a:graphicData>
          </a:graphic>
        </wp:inline>
      </w:drawing>
    </w:r>
    <w:r>
      <w:rPr>
        <w:rFonts w:eastAsia="Garamond"/>
        <w:lang w:val="en-CA"/>
      </w:rPr>
      <w:t xml:space="preserve">                                                                                                                                                </w:t>
    </w:r>
  </w:p>
  <w:p>
    <w:pPr>
      <w:pStyle w:val="Footer"/>
      <w:rPr/>
    </w:pPr>
    <w:r>
      <w:rPr/>
    </w:r>
  </w:p>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start="-540" w:end="-450"/>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kern w:val="2"/>
      <w:sz w:val="20"/>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paragraph" w:styleId="Heading7">
    <w:name w:val="heading 7"/>
    <w:basedOn w:val="Normal"/>
    <w:next w:val="Normal"/>
    <w:qFormat/>
    <w:pPr>
      <w:keepNext w:val="true"/>
      <w:numPr>
        <w:ilvl w:val="6"/>
        <w:numId w:val="1"/>
      </w:numPr>
      <w:jc w:val="center"/>
      <w:outlineLvl w:val="6"/>
    </w:pPr>
    <w:rPr>
      <w:rFonts w:ascii="Arial" w:hAnsi="Arial" w:cs="Arial"/>
      <w:b/>
      <w:i/>
      <w:color w:val="FFFF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FFFFFF"/>
      <w:sz w:val="24"/>
    </w:rPr>
  </w:style>
  <w:style w:type="paragraph" w:styleId="Heading9">
    <w:name w:val="heading 9"/>
    <w:basedOn w:val="Normal"/>
    <w:next w:val="Normal"/>
    <w:qFormat/>
    <w:pPr>
      <w:keepNext w:val="true"/>
      <w:numPr>
        <w:ilvl w:val="8"/>
        <w:numId w:val="1"/>
      </w:numPr>
      <w:jc w:val="start"/>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pPr>
    <w:rPr/>
  </w:style>
  <w:style w:type="paragraph" w:styleId="Signature">
    <w:name w:val="Signature"/>
    <w:basedOn w:val="Normal"/>
    <w:next w:val="SignatureJobTitle"/>
    <w:pPr>
      <w:keepNext w:val="true"/>
      <w:spacing w:lineRule="atLeast" w:line="240" w:before="880" w:after="0"/>
      <w:jc w:val="start"/>
    </w:pPr>
    <w:rPr/>
  </w:style>
  <w:style w:type="paragraph" w:styleId="CompanyName">
    <w:name w:val="Company Name"/>
    <w:basedOn w:val="BodyText"/>
    <w:next w:val="Date"/>
    <w:qFormat/>
    <w:pPr>
      <w:keepLines/>
      <w:spacing w:before="0" w:after="40"/>
      <w:jc w:val="center"/>
    </w:pPr>
    <w:rPr>
      <w:caps/>
      <w:spacing w:val="75"/>
      <w:sz w:val="21"/>
    </w:rPr>
  </w:style>
  <w:style w:type="paragraph" w:styleId="Date">
    <w:name w:val="Date"/>
    <w:basedOn w:val="Normal"/>
    <w:next w:val="InsideAddressName"/>
    <w:qFormat/>
    <w:pPr>
      <w:spacing w:before="0" w:after="220"/>
    </w:pPr>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List"/>
    <w:qFormat/>
    <w:pPr>
      <w:numPr>
        <w:ilvl w:val="0"/>
        <w:numId w:val="3"/>
      </w:numPr>
      <w:tabs>
        <w:tab w:val="left" w:pos="720" w:leader="none"/>
      </w:tabs>
      <w:ind w:hanging="360" w:start="720" w:end="720"/>
    </w:pPr>
    <w:rPr/>
  </w:style>
  <w:style w:type="paragraph" w:styleId="ListNumber">
    <w:name w:val="List Number"/>
    <w:basedOn w:val="List"/>
    <w:qFormat/>
    <w:pPr>
      <w:numPr>
        <w:ilvl w:val="0"/>
        <w:numId w:val="4"/>
      </w:numPr>
      <w:tabs>
        <w:tab w:val="left" w:pos="720" w:leader="none"/>
      </w:tabs>
      <w:ind w:hanging="360" w:start="720" w:end="720"/>
    </w:pPr>
    <w:rPr/>
  </w:style>
  <w:style w:type="paragraph" w:styleId="BodyText2">
    <w:name w:val="Body Text 2"/>
    <w:basedOn w:val="Normal"/>
    <w:qFormat/>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jc w:val="start"/>
    </w:pPr>
    <w:rPr>
      <w:rFonts w:ascii="Times New Roman" w:hAnsi="Times New Roman" w:cs="Times New Roman"/>
      <w:kern w:val="0"/>
      <w:sz w:val="24"/>
    </w:rPr>
  </w:style>
  <w:style w:type="paragraph" w:styleId="BodyText3">
    <w:name w:val="Body Text 3"/>
    <w:basedOn w:val="Normal"/>
    <w:qFormat/>
    <w:pPr>
      <w:jc w:val="start"/>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2000-04-26T17:55:00Z</dcterms:created>
  <dc:creator>Michael Danielson</dc:creator>
  <dc:description/>
  <dc:language>en-CA</dc:language>
  <cp:lastModifiedBy>odalton</cp:lastModifiedBy>
  <cp:lastPrinted>2000-04-26T13:30:00Z</cp:lastPrinted>
  <dcterms:modified xsi:type="dcterms:W3CDTF">2000-04-26T18:18:00Z</dcterms:modified>
  <cp:revision>3</cp:revision>
  <dc:subject/>
  <dc:title>September 9, 1998</dc:title>
</cp:coreProperties>
</file>