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Alan Aronowitz</w:t>
              <w:br/>
            </w:r>
          </w:p>
          <w:p>
            <w:pPr>
              <w:pStyle w:val="To"/>
              <w:rPr/>
            </w:pPr>
            <w:r>
              <w:rPr/>
              <w:b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To"/>
              <w:rPr/>
            </w:pPr>
            <w:r>
              <w:rPr/>
              <w:t>Sara Shackleton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snapToGrid w:val="false"/>
              <w:ind w:start="-180" w:end="0"/>
              <w:jc w:val="end"/>
              <w:rPr>
                <w:sz w:val="16"/>
              </w:rPr>
            </w:pPr>
            <w:r>
              <w:rPr>
                <w:sz w:val="16"/>
              </w:rPr>
            </w:r>
          </w:p>
        </w:tc>
        <w:tc>
          <w:tcPr>
            <w:tcW w:w="6045" w:type="dxa"/>
            <w:tcBorders/>
          </w:tcPr>
          <w:p>
            <w:pPr>
              <w:pStyle w:val="From"/>
              <w:snapToGrid w:val="false"/>
              <w:rPr>
                <w:sz w:val="16"/>
              </w:rPr>
            </w:pPr>
            <w:r>
              <w:rPr>
                <w:sz w:val="16"/>
              </w:rPr>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Sheila Glover</w:t>
              <w:br/>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Financial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From"/>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Proprietary Debt Trading transfer from ECT Investments, Inc. to Enron North America</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September 18, 2000</w:t>
            </w:r>
          </w:p>
        </w:tc>
      </w:tr>
    </w:tbl>
    <w:p>
      <w:pPr>
        <w:pStyle w:val="Body"/>
        <w:ind w:start="270" w:end="0"/>
        <w:rPr/>
      </w:pPr>
      <w:r>
        <w:rPr/>
      </w:r>
      <w:bookmarkStart w:id="1" w:name="StartOfMemo"/>
      <w:bookmarkStart w:id="2" w:name="StartOfMemo"/>
      <w:bookmarkEnd w:id="2"/>
    </w:p>
    <w:p>
      <w:pPr>
        <w:pStyle w:val="Body"/>
        <w:ind w:start="900" w:end="0"/>
        <w:rPr>
          <w:color w:val="auto"/>
        </w:rPr>
      </w:pPr>
      <w:r>
        <w:rPr>
          <w:color w:val="auto"/>
        </w:rPr>
        <w:t>The following is a listing of accounts which hold positions for Proprietary Debt Trading which need to be reassigned from ECT Investements, Inc., a wholly owned subsidiary of Enron North America, to Enron North America.</w:t>
      </w:r>
    </w:p>
    <w:p>
      <w:pPr>
        <w:pStyle w:val="Body"/>
        <w:ind w:start="900" w:end="0"/>
        <w:rPr>
          <w:color w:val="auto"/>
        </w:rPr>
      </w:pPr>
      <w:r>
        <w:rPr>
          <w:color w:val="auto"/>
        </w:rPr>
      </w:r>
    </w:p>
    <w:p>
      <w:pPr>
        <w:pStyle w:val="Body"/>
        <w:ind w:start="900" w:end="0"/>
        <w:rPr>
          <w:color w:val="auto"/>
        </w:rPr>
      </w:pPr>
      <w:r>
        <w:rPr>
          <w:color w:val="auto"/>
        </w:rPr>
      </w:r>
    </w:p>
    <w:p>
      <w:pPr>
        <w:pStyle w:val="Body"/>
        <w:ind w:start="900" w:end="0"/>
        <w:rPr>
          <w:color w:val="auto"/>
        </w:rPr>
      </w:pPr>
      <w:r>
        <w:rPr>
          <w:color w:val="auto"/>
          <w:u w:val="single"/>
        </w:rPr>
        <w:t>Prime Broker Accounts:</w:t>
      </w:r>
    </w:p>
    <w:p>
      <w:pPr>
        <w:pStyle w:val="Body"/>
        <w:ind w:start="900" w:end="0"/>
        <w:rPr>
          <w:color w:val="auto"/>
        </w:rPr>
      </w:pPr>
      <w:r>
        <w:rPr>
          <w:color w:val="auto"/>
        </w:rPr>
        <w:t>Move from ECTI (Tax ID: 76-0497405) group of books to ENA (Tax ID: 76-0318139) group of books.</w:t>
      </w:r>
    </w:p>
    <w:p>
      <w:pPr>
        <w:pStyle w:val="Body"/>
        <w:ind w:start="900" w:end="0"/>
        <w:rPr>
          <w:color w:val="auto"/>
        </w:rPr>
      </w:pPr>
      <w:r>
        <w:rPr>
          <w:color w:val="auto"/>
        </w:rPr>
      </w:r>
    </w:p>
    <w:p>
      <w:pPr>
        <w:pStyle w:val="Body"/>
        <w:ind w:start="900" w:end="0"/>
        <w:rPr>
          <w:color w:val="auto"/>
        </w:rPr>
      </w:pPr>
      <w:r>
        <w:rPr>
          <w:color w:val="auto"/>
        </w:rPr>
        <w:tab/>
      </w:r>
      <w:r>
        <w:rPr>
          <w:color w:val="auto"/>
          <w:u w:val="single"/>
        </w:rPr>
        <w:t>Morgan Stanley</w:t>
      </w:r>
    </w:p>
    <w:p>
      <w:pPr>
        <w:pStyle w:val="Body"/>
        <w:ind w:start="900" w:end="0"/>
        <w:rPr>
          <w:color w:val="auto"/>
        </w:rPr>
      </w:pPr>
      <w:r>
        <w:rPr>
          <w:color w:val="auto"/>
        </w:rPr>
        <w:tab/>
        <w:t>Credit Book:</w:t>
        <w:tab/>
        <w:tab/>
        <w:t>A/C# 038-088266</w:t>
      </w:r>
    </w:p>
    <w:p>
      <w:pPr>
        <w:pStyle w:val="Body"/>
        <w:ind w:start="900" w:end="0"/>
        <w:rPr>
          <w:color w:val="auto"/>
        </w:rPr>
      </w:pPr>
      <w:r>
        <w:rPr>
          <w:color w:val="auto"/>
        </w:rPr>
        <w:tab/>
        <w:t>Convertible Book:</w:t>
        <w:tab/>
        <w:t>A/C# 038-088316</w:t>
      </w:r>
    </w:p>
    <w:p>
      <w:pPr>
        <w:pStyle w:val="Body"/>
        <w:ind w:start="900" w:end="0"/>
        <w:rPr>
          <w:color w:val="auto"/>
        </w:rPr>
      </w:pPr>
      <w:r>
        <w:rPr>
          <w:color w:val="auto"/>
        </w:rPr>
      </w:r>
    </w:p>
    <w:p>
      <w:pPr>
        <w:pStyle w:val="Body"/>
        <w:ind w:start="900" w:end="0"/>
        <w:rPr>
          <w:color w:val="auto"/>
        </w:rPr>
      </w:pPr>
      <w:r>
        <w:rPr>
          <w:color w:val="auto"/>
        </w:rPr>
        <w:tab/>
      </w:r>
      <w:r>
        <w:rPr>
          <w:color w:val="auto"/>
          <w:u w:val="single"/>
        </w:rPr>
        <w:t>Goldman Sachs</w:t>
      </w:r>
    </w:p>
    <w:p>
      <w:pPr>
        <w:pStyle w:val="Body"/>
        <w:ind w:start="900" w:end="0"/>
        <w:rPr>
          <w:color w:val="auto"/>
        </w:rPr>
      </w:pPr>
      <w:r>
        <w:rPr>
          <w:color w:val="auto"/>
        </w:rPr>
        <w:tab/>
        <w:t>Credit Book:</w:t>
        <w:tab/>
        <w:tab/>
        <w:t>A/C# 002-06449-1</w:t>
      </w:r>
    </w:p>
    <w:p>
      <w:pPr>
        <w:pStyle w:val="Body"/>
        <w:ind w:start="900" w:end="0"/>
        <w:rPr>
          <w:color w:val="auto"/>
        </w:rPr>
      </w:pPr>
      <w:r>
        <w:rPr>
          <w:color w:val="auto"/>
        </w:rPr>
        <w:tab/>
        <w:t>Convertible Book:</w:t>
        <w:tab/>
        <w:t>A/C# 002-06450-9</w:t>
      </w:r>
    </w:p>
    <w:p>
      <w:pPr>
        <w:pStyle w:val="Body"/>
        <w:ind w:start="900" w:end="0"/>
        <w:rPr>
          <w:color w:val="auto"/>
        </w:rPr>
      </w:pPr>
      <w:r>
        <w:rPr>
          <w:color w:val="auto"/>
        </w:rPr>
      </w:r>
    </w:p>
    <w:p>
      <w:pPr>
        <w:pStyle w:val="Body"/>
        <w:ind w:start="900" w:end="0"/>
        <w:rPr>
          <w:color w:val="auto"/>
        </w:rPr>
      </w:pPr>
      <w:r>
        <w:rPr>
          <w:color w:val="auto"/>
        </w:rPr>
        <w:tab/>
      </w:r>
      <w:r>
        <w:rPr>
          <w:color w:val="auto"/>
          <w:u w:val="single"/>
        </w:rPr>
        <w:t>Bear Stearns</w:t>
      </w:r>
    </w:p>
    <w:p>
      <w:pPr>
        <w:pStyle w:val="Body"/>
        <w:ind w:start="900" w:end="0"/>
        <w:rPr>
          <w:color w:val="auto"/>
        </w:rPr>
      </w:pPr>
      <w:r>
        <w:rPr>
          <w:color w:val="auto"/>
        </w:rPr>
        <w:tab/>
        <w:t>Credit Book:</w:t>
        <w:tab/>
        <w:tab/>
        <w:t>A/C# 102-04919</w:t>
      </w:r>
    </w:p>
    <w:p>
      <w:pPr>
        <w:pStyle w:val="Body"/>
        <w:ind w:start="900" w:end="0"/>
        <w:rPr>
          <w:color w:val="auto"/>
        </w:rPr>
      </w:pPr>
      <w:r>
        <w:rPr>
          <w:color w:val="auto"/>
        </w:rPr>
        <w:tab/>
        <w:t>Convertible Book:</w:t>
        <w:tab/>
        <w:t>N/A</w:t>
      </w:r>
    </w:p>
    <w:p>
      <w:pPr>
        <w:pStyle w:val="Body"/>
        <w:ind w:start="900" w:end="0"/>
        <w:rPr>
          <w:color w:val="auto"/>
        </w:rPr>
      </w:pPr>
      <w:r>
        <w:rPr>
          <w:color w:val="auto"/>
        </w:rPr>
      </w:r>
    </w:p>
    <w:p>
      <w:pPr>
        <w:pStyle w:val="Body"/>
        <w:ind w:start="900" w:end="0"/>
        <w:rPr>
          <w:color w:val="auto"/>
        </w:rPr>
      </w:pPr>
      <w:r>
        <w:rPr>
          <w:color w:val="auto"/>
        </w:rPr>
        <w:t>The above transfer will require a change of name on the accounts from ECT Investments, Inc. to Enron North America and a change of the Tax ID on the account.  No positions or balances need to be moved from the existing accounts.  Per initial discussion with the Prime Brokers, an Assignment and Assumption Agreement is required.</w:t>
      </w:r>
    </w:p>
    <w:p>
      <w:pPr>
        <w:pStyle w:val="Body"/>
        <w:ind w:start="900" w:end="0"/>
        <w:rPr>
          <w:color w:val="auto"/>
        </w:rPr>
      </w:pPr>
      <w:r>
        <w:rPr>
          <w:color w:val="auto"/>
        </w:rPr>
      </w:r>
    </w:p>
    <w:p>
      <w:pPr>
        <w:pStyle w:val="Body"/>
        <w:ind w:start="900" w:end="0"/>
        <w:rPr>
          <w:color w:val="auto"/>
        </w:rPr>
      </w:pPr>
      <w:r>
        <w:rPr>
          <w:color w:val="auto"/>
        </w:rPr>
      </w:r>
    </w:p>
    <w:p>
      <w:pPr>
        <w:pStyle w:val="Body"/>
        <w:ind w:start="900" w:end="0"/>
        <w:rPr>
          <w:color w:val="auto"/>
          <w:u w:val="single"/>
        </w:rPr>
      </w:pPr>
      <w:r>
        <w:rPr>
          <w:color w:val="auto"/>
          <w:u w:val="single"/>
        </w:rPr>
        <w:t>OTC Transactions:</w:t>
      </w:r>
    </w:p>
    <w:p>
      <w:pPr>
        <w:pStyle w:val="Body"/>
        <w:ind w:start="900" w:end="0"/>
        <w:rPr>
          <w:color w:val="auto"/>
        </w:rPr>
      </w:pPr>
      <w:r>
        <w:rPr>
          <w:color w:val="auto"/>
        </w:rPr>
        <w:t>Currently OTC activity with three external counterparties (Deutche Bank, First Union, Goldman Sachs) and one internal counterparty (Enron Credit).</w:t>
      </w:r>
    </w:p>
    <w:p>
      <w:pPr>
        <w:pStyle w:val="Body"/>
        <w:ind w:start="900" w:end="0"/>
        <w:rPr>
          <w:color w:val="auto"/>
        </w:rPr>
      </w:pPr>
      <w:r>
        <w:rPr>
          <w:color w:val="auto"/>
        </w:rPr>
      </w:r>
    </w:p>
    <w:p>
      <w:pPr>
        <w:pStyle w:val="Body"/>
        <w:ind w:start="900" w:end="0"/>
        <w:rPr>
          <w:color w:val="auto"/>
        </w:rPr>
      </w:pPr>
      <w:r>
        <w:rPr>
          <w:color w:val="auto"/>
        </w:rPr>
        <w:tab/>
        <w:t>See attached listing of Current Positions by Counterparty</w:t>
      </w:r>
    </w:p>
    <w:p>
      <w:pPr>
        <w:pStyle w:val="Body"/>
        <w:ind w:start="900" w:end="0"/>
        <w:rPr>
          <w:color w:val="auto"/>
        </w:rPr>
      </w:pPr>
      <w:r>
        <w:rPr>
          <w:color w:val="auto"/>
        </w:rPr>
      </w:r>
    </w:p>
    <w:p>
      <w:pPr>
        <w:pStyle w:val="Body"/>
        <w:ind w:start="900" w:end="0"/>
        <w:rPr>
          <w:color w:val="auto"/>
        </w:rPr>
      </w:pPr>
      <w:r>
        <w:rPr>
          <w:color w:val="auto"/>
        </w:rPr>
      </w:r>
    </w:p>
    <w:p>
      <w:pPr>
        <w:pStyle w:val="Body"/>
        <w:ind w:start="900" w:end="0"/>
        <w:rPr>
          <w:color w:val="auto"/>
        </w:rPr>
      </w:pPr>
      <w:r>
        <w:rPr>
          <w:color w:val="auto"/>
          <w:u w:val="single"/>
        </w:rPr>
        <w:t>J.P. Morgan Swap:</w:t>
      </w:r>
    </w:p>
    <w:p>
      <w:pPr>
        <w:pStyle w:val="Body"/>
        <w:ind w:start="900" w:end="0"/>
        <w:rPr>
          <w:color w:val="auto"/>
        </w:rPr>
      </w:pPr>
      <w:r>
        <w:rPr>
          <w:color w:val="auto"/>
        </w:rPr>
        <w:t>No Convertible or Credit positions are currently in the ECT Investments, Inc.’s swap with J.P. Morgan.</w:t>
      </w:r>
    </w:p>
    <w:p>
      <w:pPr>
        <w:pStyle w:val="Body"/>
        <w:ind w:start="900" w:end="0"/>
        <w:rPr>
          <w:color w:val="auto"/>
        </w:rPr>
      </w:pPr>
      <w:r>
        <w:rPr>
          <w:color w:val="auto"/>
        </w:rPr>
      </w:r>
    </w:p>
    <w:p>
      <w:pPr>
        <w:pStyle w:val="Body"/>
        <w:ind w:start="900" w:end="0"/>
        <w:rPr>
          <w:color w:val="auto"/>
        </w:rPr>
      </w:pPr>
      <w:r>
        <w:rPr>
          <w:color w:val="auto"/>
        </w:rPr>
      </w:r>
    </w:p>
    <w:p>
      <w:pPr>
        <w:pStyle w:val="Body"/>
        <w:ind w:start="900" w:end="0"/>
        <w:rPr>
          <w:color w:val="auto"/>
        </w:rPr>
      </w:pPr>
      <w:r>
        <w:rPr>
          <w:color w:val="auto"/>
        </w:rPr>
        <w:t>cc:</w:t>
        <w:tab/>
        <w:t>Stephen Douglas</w:t>
      </w:r>
    </w:p>
    <w:p>
      <w:pPr>
        <w:pStyle w:val="Body"/>
        <w:ind w:start="900" w:end="0"/>
        <w:rPr>
          <w:color w:val="auto"/>
        </w:rPr>
      </w:pPr>
      <w:r>
        <w:rPr>
          <w:color w:val="auto"/>
        </w:rPr>
        <w:tab/>
        <w:t>Julie Gartner</w:t>
        <w:tab/>
      </w:r>
    </w:p>
    <w:p>
      <w:pPr>
        <w:pStyle w:val="Body"/>
        <w:ind w:start="900" w:end="0"/>
        <w:rPr>
          <w:color w:val="auto"/>
        </w:rPr>
      </w:pPr>
      <w:r>
        <w:rPr>
          <w:color w:val="auto"/>
        </w:rPr>
        <w:tab/>
        <w:t>Jeff Kinneman</w:t>
      </w:r>
    </w:p>
    <w:p>
      <w:pPr>
        <w:pStyle w:val="Body"/>
        <w:ind w:start="900" w:end="0"/>
        <w:rPr>
          <w:color w:val="auto"/>
        </w:rPr>
      </w:pPr>
      <w:r>
        <w:rPr>
          <w:color w:val="auto"/>
        </w:rPr>
        <w:tab/>
        <w:t>Gary Hickerson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2000-09-18T13:20:00Z</dcterms:created>
  <dc:creator>stella ely</dc:creator>
  <dc:description/>
  <dc:language>en-CA</dc:language>
  <cp:lastModifiedBy>ktemple</cp:lastModifiedBy>
  <cp:lastPrinted>2000-09-18T10:12:00Z</cp:lastPrinted>
  <dcterms:modified xsi:type="dcterms:W3CDTF">2000-09-18T13:23:00Z</dcterms:modified>
  <cp:revision>3</cp:revision>
  <dc:subject/>
  <dc:title> </dc:title>
</cp:coreProperties>
</file>