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Proliance Energy, LLC , an Indiana limited liability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February,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48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 then Customer as the Beneficiary Party may request the Company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 then Company as the Beneficiary Party may request Customer to establish a Letter of Credit as the Account Party in an amount equal to the Termination Payment in excess of  $1,000,000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NEW YORK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PROLIANCE ENERGY,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/mnt/main-storage/datasets/enron-docs/doc/Proliance_Energy__clean.doc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shall have any of the following occurring at any time (a) the Current Ratio is less than 1 to 1; or (b) its Net Worth falls below $30,000,000 or (c) </w:t>
        <w:softHyphen/>
        <w:softHyphen/>
        <w:softHyphen/>
        <w:softHyphen/>
        <w:softHyphen/>
        <w:softHyphen/>
        <w:softHyphen/>
        <w:softHyphen/>
        <w:softHyphen/>
        <w:softHyphen/>
        <w:softHyphen/>
        <w:softHyphen/>
        <w:softHyphen/>
        <w:softHyphen/>
        <w:softHyphen/>
        <w:softHyphen/>
        <w:softHyphen/>
        <w:softHyphen/>
        <w:softHyphen/>
        <w:softHyphen/>
        <w:t>with respect to Customer, Customer ceases to be owned or otherwise controlled by  Vectren Corporation and Citizens Gas &amp; Coke Utility; "owned or otherwise controlled by" meaning the direct or indirect ownership of at least 50% of the outstanding capital stock or other equity interests of Customer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firstLine="60"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b/>
          <w:sz w:val="18"/>
        </w:rPr>
      </w:pPr>
      <w:r>
        <w:rPr>
          <w:rFonts w:cs="Arial Narrow" w:ascii="Arial Narrow" w:hAnsi="Arial Narrow"/>
          <w:b/>
          <w:sz w:val="18"/>
        </w:rPr>
        <w:t>Notices/Correspondence:</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Proliance Energy, LLC</w:t>
      </w:r>
    </w:p>
    <w:p>
      <w:pPr>
        <w:pStyle w:val="Normal"/>
        <w:jc w:val="both"/>
        <w:rPr>
          <w:rFonts w:ascii="Arial Narrow" w:hAnsi="Arial Narrow" w:cs="Arial Narrow"/>
          <w:sz w:val="18"/>
        </w:rPr>
      </w:pPr>
      <w:r>
        <w:rPr>
          <w:rFonts w:cs="Arial Narrow" w:ascii="Arial Narrow" w:hAnsi="Arial Narrow"/>
          <w:sz w:val="18"/>
        </w:rPr>
        <w:t>111 Monument Circle, Suite 2200</w:t>
      </w:r>
    </w:p>
    <w:p>
      <w:pPr>
        <w:pStyle w:val="Normal"/>
        <w:jc w:val="both"/>
        <w:rPr>
          <w:rFonts w:ascii="Arial Narrow" w:hAnsi="Arial Narrow" w:cs="Arial Narrow"/>
          <w:sz w:val="18"/>
        </w:rPr>
      </w:pPr>
      <w:r>
        <w:rPr>
          <w:rFonts w:cs="Arial Narrow" w:ascii="Arial Narrow" w:hAnsi="Arial Narrow"/>
          <w:sz w:val="18"/>
        </w:rPr>
        <w:t>Indianapolis, IN 46204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February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Proliance Energy LLC , an Indiana limited liability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PROLIANCE ENERGY,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 ________________________</w:t>
      </w:r>
    </w:p>
    <w:p>
      <w:pPr>
        <w:pStyle w:val="Normal"/>
        <w:jc w:val="both"/>
        <w:rPr>
          <w:rFonts w:ascii="Arial Narrow" w:hAnsi="Arial Narrow" w:cs="Arial Narrow"/>
          <w:sz w:val="18"/>
        </w:rPr>
      </w:pPr>
      <w:r>
        <w:rPr>
          <w:rFonts w:cs="Arial Narrow" w:ascii="Arial Narrow" w:hAnsi="Arial Narrow"/>
          <w:sz w:val="18"/>
        </w:rPr>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u w:val="single"/>
        </w:rPr>
      </w:pPr>
      <w:r>
        <w:rPr>
          <w:rFonts w:cs="Arial Narrow" w:ascii="Arial Narrow" w:hAnsi="Arial Narrow"/>
          <w:sz w:val="18"/>
          <w:u w:val="single"/>
        </w:rPr>
      </w:r>
    </w:p>
    <w:sectPr>
      <w:footerReference w:type="default" r:id="rId10"/>
      <w:footerReference w:type="first" r:id="rId11"/>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2001-01-08T19:11:00Z</dcterms:created>
  <dc:creator>dperlin</dc:creator>
  <dc:description/>
  <dc:language>en-CA</dc:language>
  <cp:lastModifiedBy>dperlin</cp:lastModifiedBy>
  <cp:lastPrinted>2001-01-08T15:32:00Z</cp:lastPrinted>
  <dcterms:modified xsi:type="dcterms:W3CDTF">2001-01-08T19:13:00Z</dcterms:modified>
  <cp:revision>3</cp:revision>
  <dc:subject/>
  <dc:title>ENFOLIO® MASTER FIRM PURCHASE/SALE AGREEMENT</dc:title>
</cp:coreProperties>
</file>