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7568" w:type="dxa"/>
        <w:jc w:val="start"/>
        <w:tblInd w:w="0" w:type="dxa"/>
        <w:tblLayout w:type="fixed"/>
        <w:tblCellMar>
          <w:top w:w="0" w:type="dxa"/>
          <w:start w:w="108" w:type="dxa"/>
          <w:bottom w:w="0" w:type="dxa"/>
          <w:end w:w="108" w:type="dxa"/>
        </w:tblCellMar>
      </w:tblPr>
      <w:tblGrid>
        <w:gridCol w:w="648"/>
        <w:gridCol w:w="4140"/>
        <w:gridCol w:w="8640"/>
        <w:gridCol w:w="4140"/>
      </w:tblGrid>
      <w:tr>
        <w:trPr>
          <w:tblHeader w:val="true"/>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bCs/>
                <w:u w:val="single"/>
              </w:rPr>
            </w:pPr>
            <w:r>
              <w:rPr>
                <w:b/>
                <w:bCs/>
                <w:u w:val="single"/>
              </w:rPr>
            </w:r>
          </w:p>
        </w:tc>
        <w:tc>
          <w:tcPr>
            <w:tcW w:w="41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120"/>
              <w:rPr>
                <w:b/>
                <w:bCs/>
                <w:u w:val="single"/>
              </w:rPr>
            </w:pPr>
            <w:r>
              <w:rPr>
                <w:b/>
                <w:bCs/>
                <w:u w:val="single"/>
              </w:rPr>
              <w:t>PROJECT</w:t>
            </w:r>
          </w:p>
        </w:tc>
        <w:tc>
          <w:tcPr>
            <w:tcW w:w="864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STATUS / COMMENTS</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PRIORITY</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41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22"/>
              </w:rPr>
            </w:pPr>
            <w:r>
              <w:rPr>
                <w:sz w:val="22"/>
              </w:rPr>
              <w:t>ISDA negotiations</w:t>
            </w:r>
          </w:p>
          <w:p>
            <w:pPr>
              <w:pStyle w:val="Normal"/>
              <w:rPr>
                <w:sz w:val="22"/>
              </w:rPr>
            </w:pPr>
            <w:r>
              <w:rPr>
                <w:sz w:val="22"/>
              </w:rPr>
            </w:r>
          </w:p>
          <w:p>
            <w:pPr>
              <w:pStyle w:val="Normal"/>
              <w:rPr>
                <w:sz w:val="22"/>
              </w:rPr>
            </w:pPr>
            <w:r>
              <w:rPr>
                <w:sz w:val="22"/>
              </w:rPr>
            </w:r>
          </w:p>
        </w:tc>
        <w:tc>
          <w:tcPr>
            <w:tcW w:w="86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22"/>
              </w:rPr>
            </w:pPr>
            <w:r>
              <w:rPr>
                <w:sz w:val="22"/>
              </w:rPr>
              <w:t>The following are TOP TENs:</w:t>
            </w:r>
          </w:p>
          <w:p>
            <w:pPr>
              <w:pStyle w:val="Header"/>
              <w:tabs>
                <w:tab w:val="clear" w:pos="4320"/>
                <w:tab w:val="clear" w:pos="8640"/>
              </w:tabs>
              <w:rPr>
                <w:sz w:val="22"/>
              </w:rPr>
            </w:pPr>
            <w:r>
              <w:rPr>
                <w:sz w:val="22"/>
              </w:rPr>
            </w:r>
          </w:p>
          <w:p>
            <w:pPr>
              <w:pStyle w:val="Header"/>
              <w:tabs>
                <w:tab w:val="clear" w:pos="4320"/>
                <w:tab w:val="clear" w:pos="8640"/>
              </w:tabs>
              <w:rPr>
                <w:b/>
                <w:bCs/>
              </w:rPr>
            </w:pPr>
            <w:r>
              <w:rPr>
                <w:b/>
                <w:bCs/>
              </w:rPr>
              <w:t>NONE</w:t>
            </w:r>
          </w:p>
          <w:p>
            <w:pPr>
              <w:pStyle w:val="Header"/>
              <w:tabs>
                <w:tab w:val="clear" w:pos="4320"/>
                <w:tab w:val="clear" w:pos="8640"/>
              </w:tabs>
              <w:rPr>
                <w:b/>
                <w:bCs/>
                <w:sz w:val="22"/>
              </w:rPr>
            </w:pPr>
            <w:r>
              <w:rPr>
                <w:b/>
                <w:bCs/>
                <w:sz w:val="22"/>
              </w:rPr>
            </w:r>
          </w:p>
        </w:tc>
        <w:tc>
          <w:tcPr>
            <w:tcW w:w="41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sz w:val="22"/>
              </w:rPr>
            </w:pPr>
            <w:r>
              <w:rPr>
                <w:sz w:val="22"/>
              </w:rPr>
            </w:r>
          </w:p>
        </w:tc>
      </w:tr>
      <w:tr>
        <w:trPr/>
        <w:tc>
          <w:tcPr>
            <w:tcW w:w="648" w:type="dxa"/>
            <w:tcBorders>
              <w:top w:val="single" w:sz="4" w:space="0" w:color="000000"/>
              <w:start w:val="single" w:sz="4" w:space="0" w:color="000000"/>
              <w:end w:val="single" w:sz="4" w:space="0" w:color="000000"/>
            </w:tcBorders>
          </w:tcPr>
          <w:p>
            <w:pPr>
              <w:pStyle w:val="Normal"/>
              <w:jc w:val="center"/>
              <w:rPr>
                <w:sz w:val="22"/>
              </w:rPr>
            </w:pPr>
            <w:r>
              <w:rPr>
                <w:sz w:val="22"/>
              </w:rPr>
              <w:t>2.</w:t>
            </w:r>
          </w:p>
        </w:tc>
        <w:tc>
          <w:tcPr>
            <w:tcW w:w="4140" w:type="dxa"/>
            <w:tcBorders>
              <w:top w:val="single" w:sz="4" w:space="0" w:color="000000"/>
              <w:start w:val="single" w:sz="4" w:space="0" w:color="000000"/>
              <w:end w:val="single" w:sz="4" w:space="0" w:color="000000"/>
            </w:tcBorders>
          </w:tcPr>
          <w:p>
            <w:pPr>
              <w:pStyle w:val="Normal"/>
              <w:rPr>
                <w:sz w:val="22"/>
              </w:rPr>
            </w:pPr>
            <w:r>
              <w:rPr>
                <w:sz w:val="22"/>
              </w:rPr>
              <w:t>ISDA Negotiations</w:t>
            </w:r>
          </w:p>
          <w:p>
            <w:pPr>
              <w:pStyle w:val="Normal"/>
              <w:rPr>
                <w:sz w:val="22"/>
              </w:rPr>
            </w:pPr>
            <w:r>
              <w:rPr>
                <w:sz w:val="22"/>
              </w:rPr>
            </w:r>
          </w:p>
        </w:tc>
        <w:tc>
          <w:tcPr>
            <w:tcW w:w="8640" w:type="dxa"/>
            <w:tcBorders>
              <w:top w:val="single" w:sz="4" w:space="0" w:color="000000"/>
              <w:start w:val="single" w:sz="4" w:space="0" w:color="000000"/>
              <w:end w:val="single" w:sz="4" w:space="0" w:color="000000"/>
            </w:tcBorders>
          </w:tcPr>
          <w:p>
            <w:pPr>
              <w:pStyle w:val="Header"/>
              <w:tabs>
                <w:tab w:val="clear" w:pos="4320"/>
                <w:tab w:val="clear" w:pos="8640"/>
              </w:tabs>
              <w:snapToGrid w:val="false"/>
              <w:rPr>
                <w:sz w:val="22"/>
              </w:rPr>
            </w:pPr>
            <w:r>
              <w:rPr>
                <w:sz w:val="22"/>
              </w:rPr>
            </w:r>
          </w:p>
          <w:p>
            <w:pPr>
              <w:pStyle w:val="Header"/>
              <w:tabs>
                <w:tab w:val="clear" w:pos="4320"/>
                <w:tab w:val="clear" w:pos="8640"/>
              </w:tabs>
              <w:rPr/>
            </w:pPr>
            <w:r>
              <w:rPr>
                <w:b/>
                <w:bCs/>
                <w:sz w:val="22"/>
              </w:rPr>
              <w:t>ABB Inc.</w:t>
            </w:r>
            <w:r>
              <w:rPr>
                <w:sz w:val="22"/>
              </w:rPr>
              <w:t xml:space="preserve"> – First draft of ISDA Master Agreement delivered to CP 08/29/01</w:t>
            </w:r>
          </w:p>
          <w:p>
            <w:pPr>
              <w:pStyle w:val="Header"/>
              <w:tabs>
                <w:tab w:val="clear" w:pos="4320"/>
                <w:tab w:val="clear" w:pos="8640"/>
              </w:tabs>
              <w:rPr>
                <w:sz w:val="22"/>
              </w:rPr>
            </w:pPr>
            <w:r>
              <w:rPr>
                <w:sz w:val="22"/>
              </w:rPr>
            </w:r>
          </w:p>
          <w:p>
            <w:pPr>
              <w:pStyle w:val="Header"/>
              <w:tabs>
                <w:tab w:val="clear" w:pos="4320"/>
                <w:tab w:val="clear" w:pos="8640"/>
              </w:tabs>
              <w:rPr/>
            </w:pPr>
            <w:r>
              <w:rPr>
                <w:b/>
                <w:sz w:val="22"/>
              </w:rPr>
              <w:t>AK Steel Corporation</w:t>
            </w:r>
            <w:r>
              <w:rPr>
                <w:sz w:val="22"/>
              </w:rPr>
              <w:t xml:space="preserve"> – Revised draft of ISDA Master Agreement delivered to Counterparty (08/30/01)</w:t>
            </w:r>
          </w:p>
          <w:p>
            <w:pPr>
              <w:pStyle w:val="Header"/>
              <w:tabs>
                <w:tab w:val="clear" w:pos="4320"/>
                <w:tab w:val="clear" w:pos="8640"/>
              </w:tabs>
              <w:rPr>
                <w:sz w:val="22"/>
              </w:rPr>
            </w:pPr>
            <w:r>
              <w:rPr>
                <w:sz w:val="22"/>
              </w:rPr>
            </w:r>
          </w:p>
          <w:p>
            <w:pPr>
              <w:pStyle w:val="Header"/>
              <w:tabs>
                <w:tab w:val="clear" w:pos="4320"/>
                <w:tab w:val="clear" w:pos="8640"/>
              </w:tabs>
              <w:rPr>
                <w:sz w:val="22"/>
              </w:rPr>
            </w:pPr>
            <w:r>
              <w:rPr>
                <w:b/>
                <w:bCs/>
                <w:sz w:val="22"/>
              </w:rPr>
              <w:t xml:space="preserve">Alcan, Inc. </w:t>
            </w:r>
            <w:r>
              <w:rPr>
                <w:sz w:val="22"/>
              </w:rPr>
              <w:t xml:space="preserve">– </w:t>
            </w:r>
            <w:r>
              <w:rPr>
                <w:color w:val="000000"/>
                <w:sz w:val="22"/>
                <w:szCs w:val="16"/>
              </w:rPr>
              <w:t>Delivered our response to the Counterparty’s comments via e-mail to Marie Christine Dupont (08/24/01)</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Benton County PUD # 1</w:t>
            </w:r>
            <w:r>
              <w:rPr>
                <w:sz w:val="22"/>
              </w:rPr>
              <w:t xml:space="preserve"> – Washington PUD  (ISDA Master Agreement is being negotiated)</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 xml:space="preserve">Blossman Gas, Inc. </w:t>
            </w:r>
            <w:r>
              <w:rPr>
                <w:sz w:val="22"/>
              </w:rPr>
              <w:t>– Delivered first draft of ISDA Master Agreement to Ann Koehler for legal review (09/18/01)</w:t>
            </w:r>
          </w:p>
          <w:p>
            <w:pPr>
              <w:pStyle w:val="Header"/>
              <w:tabs>
                <w:tab w:val="clear" w:pos="4320"/>
                <w:tab w:val="clear" w:pos="8640"/>
              </w:tabs>
              <w:rPr>
                <w:sz w:val="22"/>
              </w:rPr>
            </w:pPr>
            <w:r>
              <w:rPr>
                <w:sz w:val="22"/>
              </w:rPr>
            </w:r>
          </w:p>
          <w:p>
            <w:pPr>
              <w:pStyle w:val="Header"/>
              <w:tabs>
                <w:tab w:val="clear" w:pos="4320"/>
                <w:tab w:val="clear" w:pos="8640"/>
              </w:tabs>
              <w:rPr/>
            </w:pPr>
            <w:r>
              <w:rPr>
                <w:b/>
                <w:sz w:val="22"/>
              </w:rPr>
              <w:t xml:space="preserve">Cascade Empire Corporation </w:t>
            </w:r>
            <w:r>
              <w:rPr>
                <w:sz w:val="22"/>
              </w:rPr>
              <w:t>– First draft of ISDA Master Agreement delivered to CP 08/21/01</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Catequil Partners L.P</w:t>
            </w:r>
            <w:r>
              <w:rPr>
                <w:sz w:val="22"/>
              </w:rPr>
              <w:t>. – Hedge Fund</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COSIPA Overseas Ltd.</w:t>
            </w:r>
            <w:r>
              <w:rPr>
                <w:sz w:val="22"/>
              </w:rPr>
              <w:t xml:space="preserve"> – Waiting on additional credit provisions from Tracy Ngo.</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 xml:space="preserve">Flying J, Inc. </w:t>
            </w:r>
            <w:r>
              <w:rPr>
                <w:sz w:val="22"/>
              </w:rPr>
              <w:t>– Delivered first draft of ISDA Master Agreement to CP (09/07/01)</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FPL Energy Power Marketing Inc</w:t>
            </w:r>
            <w:r>
              <w:rPr>
                <w:sz w:val="22"/>
              </w:rPr>
              <w:t>. – Legal and Credit are reviewing CP comments</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Franklin County PUD #1</w:t>
            </w:r>
            <w:r>
              <w:rPr>
                <w:sz w:val="22"/>
              </w:rPr>
              <w:t xml:space="preserve"> – Washington PUD  (ISDA Master Agreement is being negotiated)</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Dominion Field Services, Inc</w:t>
            </w:r>
            <w:r>
              <w:rPr>
                <w:sz w:val="22"/>
              </w:rPr>
              <w:t>. – Reviewing Counterparty comments</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Georgia Power Company</w:t>
            </w:r>
            <w:r>
              <w:rPr>
                <w:sz w:val="22"/>
              </w:rPr>
              <w:t xml:space="preserve"> – Reviewing Counterparty comments</w:t>
            </w:r>
          </w:p>
          <w:p>
            <w:pPr>
              <w:pStyle w:val="Header"/>
              <w:tabs>
                <w:tab w:val="clear" w:pos="4320"/>
                <w:tab w:val="clear" w:pos="8640"/>
              </w:tabs>
              <w:rPr>
                <w:sz w:val="22"/>
              </w:rPr>
            </w:pPr>
            <w:r>
              <w:rPr>
                <w:sz w:val="22"/>
              </w:rPr>
            </w:r>
          </w:p>
          <w:p>
            <w:pPr>
              <w:pStyle w:val="Header"/>
              <w:tabs>
                <w:tab w:val="clear" w:pos="4320"/>
                <w:tab w:val="clear" w:pos="8640"/>
              </w:tabs>
              <w:rPr/>
            </w:pPr>
            <w:r>
              <w:rPr>
                <w:b/>
                <w:sz w:val="22"/>
              </w:rPr>
              <w:t>Potlatch Corporation</w:t>
            </w:r>
            <w:r>
              <w:rPr>
                <w:sz w:val="22"/>
              </w:rPr>
              <w:t xml:space="preserve"> – First Draft of ISDA Master Agreement delivered to CP 08/21/01</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Puerto Rico Electric Power Authority</w:t>
            </w:r>
            <w:r>
              <w:rPr>
                <w:sz w:val="22"/>
              </w:rPr>
              <w:t xml:space="preserve"> – Draft of ISDA Master Agreement sent to Counterparty</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Texla Energy Management, Inc.</w:t>
            </w:r>
            <w:r>
              <w:rPr>
                <w:sz w:val="22"/>
              </w:rPr>
              <w:t xml:space="preserve"> – Finalizing ISDA Master Agreement for execution (09/18/01)</w:t>
            </w:r>
          </w:p>
          <w:p>
            <w:pPr>
              <w:pStyle w:val="Header"/>
              <w:tabs>
                <w:tab w:val="clear" w:pos="4320"/>
                <w:tab w:val="clear" w:pos="8640"/>
              </w:tabs>
              <w:rPr>
                <w:sz w:val="22"/>
              </w:rPr>
            </w:pPr>
            <w:r>
              <w:rPr>
                <w:sz w:val="22"/>
              </w:rPr>
            </w:r>
          </w:p>
          <w:p>
            <w:pPr>
              <w:pStyle w:val="Header"/>
              <w:tabs>
                <w:tab w:val="clear" w:pos="4320"/>
                <w:tab w:val="clear" w:pos="8640"/>
              </w:tabs>
              <w:rPr/>
            </w:pPr>
            <w:r>
              <w:rPr>
                <w:b/>
                <w:bCs/>
                <w:sz w:val="22"/>
              </w:rPr>
              <w:t>US Green Fiber LLC</w:t>
            </w:r>
            <w:r>
              <w:rPr>
                <w:sz w:val="22"/>
              </w:rPr>
              <w:t xml:space="preserve"> – Waiting on additional credit provision from Ken Curry/Tanya Rohauer.  E-mail to Ken and Tanya regarding this issue on 09/07/01.</w:t>
            </w:r>
          </w:p>
          <w:p>
            <w:pPr>
              <w:pStyle w:val="Header"/>
              <w:tabs>
                <w:tab w:val="clear" w:pos="4320"/>
                <w:tab w:val="clear" w:pos="8640"/>
              </w:tabs>
              <w:rPr>
                <w:sz w:val="22"/>
              </w:rPr>
            </w:pPr>
            <w:r>
              <w:rPr>
                <w:sz w:val="22"/>
              </w:rPr>
            </w:r>
          </w:p>
        </w:tc>
        <w:tc>
          <w:tcPr>
            <w:tcW w:w="4140" w:type="dxa"/>
            <w:tcBorders>
              <w:top w:val="single" w:sz="4" w:space="0" w:color="000000"/>
              <w:start w:val="single" w:sz="4" w:space="0" w:color="000000"/>
              <w:end w:val="single" w:sz="4" w:space="0" w:color="000000"/>
            </w:tcBorders>
          </w:tcPr>
          <w:p>
            <w:pPr>
              <w:pStyle w:val="Header"/>
              <w:tabs>
                <w:tab w:val="clear" w:pos="4320"/>
                <w:tab w:val="clear" w:pos="8640"/>
              </w:tabs>
              <w:rPr>
                <w:b/>
                <w:bCs/>
                <w:sz w:val="22"/>
              </w:rPr>
            </w:pPr>
            <w:r>
              <w:rPr>
                <w:b/>
                <w:bCs/>
                <w:sz w:val="22"/>
              </w:rPr>
              <w:t>The following are all HIGH PRIORITY</w:t>
            </w:r>
          </w:p>
        </w:tc>
      </w:tr>
      <w:tr>
        <w:trPr/>
        <w:tc>
          <w:tcPr>
            <w:tcW w:w="648" w:type="dxa"/>
            <w:tcBorders>
              <w:start w:val="single" w:sz="4" w:space="0" w:color="000000"/>
              <w:end w:val="single" w:sz="4" w:space="0" w:color="000000"/>
            </w:tcBorders>
          </w:tcPr>
          <w:p>
            <w:pPr>
              <w:pStyle w:val="Normal"/>
              <w:snapToGrid w:val="false"/>
              <w:jc w:val="center"/>
              <w:rPr>
                <w:b/>
                <w:bCs/>
                <w:sz w:val="22"/>
              </w:rPr>
            </w:pPr>
            <w:r>
              <w:rPr>
                <w:b/>
                <w:bCs/>
                <w:sz w:val="22"/>
              </w:rPr>
            </w:r>
          </w:p>
        </w:tc>
        <w:tc>
          <w:tcPr>
            <w:tcW w:w="4140" w:type="dxa"/>
            <w:tcBorders>
              <w:start w:val="single" w:sz="4" w:space="0" w:color="000000"/>
              <w:end w:val="single" w:sz="4" w:space="0" w:color="000000"/>
            </w:tcBorders>
          </w:tcPr>
          <w:p>
            <w:pPr>
              <w:pStyle w:val="Normal"/>
              <w:snapToGrid w:val="false"/>
              <w:rPr>
                <w:sz w:val="22"/>
              </w:rPr>
            </w:pPr>
            <w:r>
              <w:rPr>
                <w:sz w:val="22"/>
              </w:rPr>
            </w:r>
          </w:p>
        </w:tc>
        <w:tc>
          <w:tcPr>
            <w:tcW w:w="8640" w:type="dxa"/>
            <w:tcBorders>
              <w:start w:val="single" w:sz="4" w:space="0" w:color="000000"/>
              <w:end w:val="single" w:sz="4" w:space="0" w:color="000000"/>
            </w:tcBorders>
          </w:tcPr>
          <w:p>
            <w:pPr>
              <w:pStyle w:val="Normal"/>
              <w:snapToGrid w:val="false"/>
              <w:rPr>
                <w:sz w:val="22"/>
              </w:rPr>
            </w:pPr>
            <w:r>
              <w:rPr>
                <w:sz w:val="22"/>
              </w:rPr>
            </w:r>
          </w:p>
        </w:tc>
        <w:tc>
          <w:tcPr>
            <w:tcW w:w="4140" w:type="dxa"/>
            <w:tcBorders>
              <w:start w:val="single" w:sz="4" w:space="0" w:color="000000"/>
              <w:end w:val="single" w:sz="4" w:space="0" w:color="000000"/>
            </w:tcBorders>
          </w:tcPr>
          <w:p>
            <w:pPr>
              <w:pStyle w:val="Normal"/>
              <w:snapToGrid w:val="false"/>
              <w:rPr>
                <w:sz w:val="22"/>
              </w:rPr>
            </w:pPr>
            <w:r>
              <w:rPr>
                <w:sz w:val="22"/>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Amendments/Assignments</w:t>
            </w:r>
          </w:p>
          <w:p>
            <w:pPr>
              <w:pStyle w:val="Normal"/>
              <w:rPr>
                <w:sz w:val="22"/>
              </w:rPr>
            </w:pPr>
            <w:r>
              <w:rPr>
                <w:sz w:val="22"/>
              </w:rPr>
            </w:r>
          </w:p>
          <w:p>
            <w:pPr>
              <w:pStyle w:val="Normal"/>
              <w:rPr>
                <w:sz w:val="22"/>
              </w:rPr>
            </w:pPr>
            <w:r>
              <w:rPr>
                <w:sz w:val="22"/>
              </w:rPr>
            </w:r>
          </w:p>
        </w:tc>
        <w:tc>
          <w:tcPr>
            <w:tcW w:w="8640" w:type="dxa"/>
            <w:tcBorders>
              <w:top w:val="single" w:sz="4" w:space="0" w:color="000000"/>
              <w:start w:val="single" w:sz="4" w:space="0" w:color="000000"/>
              <w:bottom w:val="single" w:sz="4" w:space="0" w:color="000000"/>
              <w:end w:val="single" w:sz="4" w:space="0" w:color="000000"/>
            </w:tcBorders>
          </w:tcPr>
          <w:p>
            <w:pPr>
              <w:pStyle w:val="Normal"/>
              <w:rPr/>
            </w:pPr>
            <w:r>
              <w:rPr>
                <w:b/>
                <w:bCs/>
                <w:sz w:val="22"/>
              </w:rPr>
              <w:t>Atlantic Packaging Products Ltd</w:t>
            </w:r>
            <w:r>
              <w:rPr>
                <w:sz w:val="22"/>
              </w:rPr>
              <w:t>. – Redraft of ISDA Master Agreement.  This Master Agreement is being negotiated.</w:t>
            </w:r>
          </w:p>
          <w:p>
            <w:pPr>
              <w:pStyle w:val="Normal"/>
              <w:rPr>
                <w:sz w:val="22"/>
              </w:rPr>
            </w:pPr>
            <w:r>
              <w:rPr>
                <w:sz w:val="22"/>
              </w:rPr>
            </w:r>
          </w:p>
          <w:p>
            <w:pPr>
              <w:pStyle w:val="Normal"/>
              <w:rPr/>
            </w:pPr>
            <w:r>
              <w:rPr>
                <w:b/>
                <w:bCs/>
                <w:sz w:val="22"/>
              </w:rPr>
              <w:t>Constellation Power Source, Inc.</w:t>
            </w:r>
            <w:r>
              <w:rPr>
                <w:sz w:val="22"/>
              </w:rPr>
              <w:t xml:space="preserve"> – Assignment and Assumption Agreement delivered to Counterparty for execution August 10, 2001</w:t>
            </w:r>
          </w:p>
          <w:p>
            <w:pPr>
              <w:pStyle w:val="Normal"/>
              <w:rPr>
                <w:sz w:val="22"/>
              </w:rPr>
            </w:pPr>
            <w:r>
              <w:rPr>
                <w:sz w:val="22"/>
              </w:rPr>
            </w:r>
          </w:p>
          <w:p>
            <w:pPr>
              <w:pStyle w:val="Normal"/>
              <w:rPr>
                <w:sz w:val="22"/>
              </w:rPr>
            </w:pPr>
            <w:r>
              <w:rPr>
                <w:b/>
                <w:bCs/>
                <w:sz w:val="22"/>
              </w:rPr>
              <w:t>Gen Re Financial Products Corporation</w:t>
            </w:r>
            <w:r>
              <w:rPr>
                <w:sz w:val="22"/>
              </w:rPr>
              <w:t xml:space="preserve"> – </w:t>
            </w:r>
            <w:r>
              <w:rPr>
                <w:color w:val="000000"/>
                <w:sz w:val="22"/>
                <w:szCs w:val="16"/>
              </w:rPr>
              <w:t>Delivered Second Amendment Agreement to the ISDA Master Agreement to the Counterparty for execution via Fed-X (09/14/01).</w:t>
            </w:r>
          </w:p>
          <w:p>
            <w:pPr>
              <w:pStyle w:val="Normal"/>
              <w:rPr>
                <w:sz w:val="22"/>
              </w:rPr>
            </w:pPr>
            <w:r>
              <w:rPr>
                <w:sz w:val="22"/>
              </w:rPr>
            </w:r>
          </w:p>
          <w:p>
            <w:pPr>
              <w:pStyle w:val="Normal"/>
              <w:rPr/>
            </w:pPr>
            <w:r>
              <w:rPr>
                <w:b/>
                <w:bCs/>
                <w:sz w:val="22"/>
              </w:rPr>
              <w:t>Husky Oil Operations Limited</w:t>
            </w:r>
            <w:r>
              <w:rPr>
                <w:sz w:val="22"/>
              </w:rPr>
              <w:t xml:space="preserve"> – Counterparty refused to sign our redraft of the ISDA Master Agreement.  Counterparty has requested that ECC assign trades under the Pinnacle Resources Ltd. Master Agreement to Husky Oil Operations Limited.  This issue is under review.</w:t>
            </w:r>
          </w:p>
          <w:p>
            <w:pPr>
              <w:pStyle w:val="Normal"/>
              <w:rPr>
                <w:b/>
                <w:bCs/>
                <w:sz w:val="22"/>
              </w:rPr>
            </w:pPr>
            <w:r>
              <w:rPr>
                <w:b/>
                <w:bCs/>
                <w:sz w:val="22"/>
              </w:rPr>
            </w:r>
          </w:p>
          <w:p>
            <w:pPr>
              <w:pStyle w:val="Normal"/>
              <w:rPr/>
            </w:pPr>
            <w:r>
              <w:rPr>
                <w:b/>
                <w:bCs/>
                <w:sz w:val="22"/>
              </w:rPr>
              <w:t>IDACORP Energy L.P.</w:t>
            </w:r>
            <w:r>
              <w:rPr>
                <w:sz w:val="22"/>
              </w:rPr>
              <w:t xml:space="preserve"> – Credit provisions are being reviewed by Tracy Ngo</w:t>
            </w:r>
          </w:p>
          <w:p>
            <w:pPr>
              <w:pStyle w:val="Normal"/>
              <w:rPr>
                <w:b/>
                <w:bCs/>
                <w:sz w:val="22"/>
              </w:rPr>
            </w:pPr>
            <w:r>
              <w:rPr>
                <w:b/>
                <w:bCs/>
                <w:sz w:val="22"/>
              </w:rPr>
            </w:r>
          </w:p>
          <w:p>
            <w:pPr>
              <w:pStyle w:val="Normal"/>
              <w:rPr/>
            </w:pPr>
            <w:r>
              <w:rPr>
                <w:b/>
                <w:bCs/>
                <w:sz w:val="22"/>
              </w:rPr>
              <w:t xml:space="preserve">Penn West Petroleum </w:t>
            </w:r>
            <w:r>
              <w:rPr>
                <w:bCs/>
                <w:sz w:val="22"/>
              </w:rPr>
              <w:t>– Under credit review</w:t>
            </w:r>
          </w:p>
          <w:p>
            <w:pPr>
              <w:pStyle w:val="Normal"/>
              <w:rPr>
                <w:b/>
                <w:bCs/>
                <w:sz w:val="22"/>
              </w:rPr>
            </w:pPr>
            <w:r>
              <w:rPr>
                <w:b/>
                <w:bCs/>
                <w:sz w:val="22"/>
              </w:rPr>
            </w:r>
          </w:p>
          <w:p>
            <w:pPr>
              <w:pStyle w:val="Normal"/>
              <w:rPr/>
            </w:pPr>
            <w:r>
              <w:rPr>
                <w:b/>
                <w:bCs/>
                <w:sz w:val="22"/>
              </w:rPr>
              <w:t>Western Gas Resources, Inc.</w:t>
            </w:r>
            <w:r>
              <w:rPr>
                <w:sz w:val="22"/>
              </w:rPr>
              <w:t xml:space="preserve"> – Redraft of ISDA Master Agreement.  Draft delivered to Counterparty July 3, 2001.  Jason Williams (Credit) is following-up with the CP.</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4.</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ISDAs Sent for Execution</w:t>
            </w:r>
          </w:p>
          <w:p>
            <w:pPr>
              <w:pStyle w:val="Normal"/>
              <w:rPr>
                <w:sz w:val="22"/>
              </w:rPr>
            </w:pPr>
            <w:r>
              <w:rPr>
                <w:sz w:val="22"/>
              </w:rPr>
            </w:r>
          </w:p>
          <w:p>
            <w:pPr>
              <w:pStyle w:val="Normal"/>
              <w:rPr>
                <w:sz w:val="22"/>
              </w:rPr>
            </w:pPr>
            <w:r>
              <w:rPr>
                <w:sz w:val="22"/>
              </w:rPr>
            </w:r>
          </w:p>
        </w:tc>
        <w:tc>
          <w:tcPr>
            <w:tcW w:w="8640" w:type="dxa"/>
            <w:tcBorders>
              <w:top w:val="single" w:sz="4" w:space="0" w:color="000000"/>
              <w:start w:val="single" w:sz="4" w:space="0" w:color="000000"/>
              <w:bottom w:val="single" w:sz="4" w:space="0" w:color="000000"/>
              <w:end w:val="single" w:sz="4" w:space="0" w:color="000000"/>
            </w:tcBorders>
          </w:tcPr>
          <w:p>
            <w:pPr>
              <w:pStyle w:val="Normal"/>
              <w:rPr/>
            </w:pPr>
            <w:r>
              <w:rPr>
                <w:b/>
                <w:bCs/>
                <w:sz w:val="22"/>
              </w:rPr>
              <w:t>Fersinsa Gist –Brocades, S.A. de C.V.</w:t>
            </w:r>
            <w:r>
              <w:rPr>
                <w:sz w:val="22"/>
              </w:rPr>
              <w:t xml:space="preserve"> – EXECUTED 8/23/01</w:t>
            </w:r>
          </w:p>
          <w:p>
            <w:pPr>
              <w:pStyle w:val="Normal"/>
              <w:rPr>
                <w:sz w:val="22"/>
              </w:rPr>
            </w:pPr>
            <w:r>
              <w:rPr>
                <w:sz w:val="22"/>
              </w:rPr>
            </w:r>
          </w:p>
          <w:p>
            <w:pPr>
              <w:pStyle w:val="Normal"/>
              <w:rPr/>
            </w:pPr>
            <w:r>
              <w:rPr>
                <w:b/>
                <w:bCs/>
                <w:sz w:val="22"/>
              </w:rPr>
              <w:t>Pilot Corporation</w:t>
            </w:r>
            <w:r>
              <w:rPr>
                <w:sz w:val="22"/>
              </w:rPr>
              <w:t xml:space="preserve"> – EXECUTED 08/06/01</w:t>
            </w:r>
          </w:p>
          <w:p>
            <w:pPr>
              <w:pStyle w:val="Normal"/>
              <w:rPr>
                <w:sz w:val="22"/>
              </w:rPr>
            </w:pPr>
            <w:r>
              <w:rPr>
                <w:sz w:val="22"/>
              </w:rPr>
            </w:r>
          </w:p>
          <w:p>
            <w:pPr>
              <w:pStyle w:val="Normal"/>
              <w:rPr/>
            </w:pPr>
            <w:r>
              <w:rPr>
                <w:b/>
                <w:bCs/>
                <w:sz w:val="22"/>
              </w:rPr>
              <w:t>Prism Gas Systems, Inc</w:t>
            </w:r>
            <w:r>
              <w:rPr>
                <w:sz w:val="22"/>
              </w:rPr>
              <w:t>. – EXECUTED 08/24/01</w:t>
            </w:r>
          </w:p>
          <w:p>
            <w:pPr>
              <w:pStyle w:val="Normal"/>
              <w:rPr>
                <w:sz w:val="22"/>
              </w:rPr>
            </w:pPr>
            <w:r>
              <w:rPr>
                <w:sz w:val="22"/>
              </w:rPr>
            </w:r>
          </w:p>
          <w:p>
            <w:pPr>
              <w:pStyle w:val="Header"/>
              <w:tabs>
                <w:tab w:val="clear" w:pos="4320"/>
                <w:tab w:val="clear" w:pos="8640"/>
              </w:tabs>
              <w:rPr/>
            </w:pPr>
            <w:r>
              <w:rPr>
                <w:b/>
                <w:bCs/>
                <w:sz w:val="22"/>
              </w:rPr>
              <w:t>South Jersey Resources Group LLC</w:t>
            </w:r>
            <w:r>
              <w:rPr>
                <w:sz w:val="22"/>
              </w:rPr>
              <w:t xml:space="preserve"> – EXECUTED 08/28/01 (Waiting on Enron Corp. Guaranty to deliver to CP)</w:t>
            </w:r>
          </w:p>
          <w:p>
            <w:pPr>
              <w:pStyle w:val="Normal"/>
              <w:rPr>
                <w:sz w:val="22"/>
              </w:rPr>
            </w:pPr>
            <w:r>
              <w:rPr>
                <w:sz w:val="22"/>
              </w:rPr>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Projects</w:t>
            </w:r>
          </w:p>
          <w:p>
            <w:pPr>
              <w:pStyle w:val="Normal"/>
              <w:rPr>
                <w:sz w:val="22"/>
              </w:rPr>
            </w:pPr>
            <w:r>
              <w:rPr>
                <w:sz w:val="22"/>
              </w:rPr>
            </w:r>
          </w:p>
          <w:p>
            <w:pPr>
              <w:pStyle w:val="Normal"/>
              <w:rPr>
                <w:sz w:val="22"/>
              </w:rPr>
            </w:pPr>
            <w:r>
              <w:rPr>
                <w:sz w:val="22"/>
              </w:rPr>
            </w:r>
          </w:p>
        </w:tc>
        <w:tc>
          <w:tcPr>
            <w:tcW w:w="864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432" w:leader="none"/>
              </w:tabs>
              <w:ind w:hanging="648" w:start="720" w:end="0"/>
              <w:rPr>
                <w:sz w:val="22"/>
              </w:rPr>
            </w:pPr>
            <w:r>
              <w:rPr>
                <w:sz w:val="22"/>
              </w:rPr>
              <w:t>Choice of Law / Market Disruption Project</w:t>
            </w:r>
          </w:p>
          <w:p>
            <w:pPr>
              <w:pStyle w:val="Normal"/>
              <w:numPr>
                <w:ilvl w:val="0"/>
                <w:numId w:val="2"/>
              </w:numPr>
              <w:tabs>
                <w:tab w:val="clear" w:pos="720"/>
                <w:tab w:val="left" w:pos="432" w:leader="none"/>
              </w:tabs>
              <w:ind w:hanging="648" w:start="720" w:end="0"/>
              <w:rPr>
                <w:sz w:val="22"/>
              </w:rPr>
            </w:pPr>
            <w:r>
              <w:rPr>
                <w:sz w:val="22"/>
              </w:rPr>
              <w:t>Reconciliation of Executed Master Agreement files</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bl>
    <w:p>
      <w:pPr>
        <w:pStyle w:val="Normal"/>
        <w:jc w:val="center"/>
        <w:rPr>
          <w:sz w:val="22"/>
        </w:rPr>
      </w:pPr>
      <w:r>
        <w:rPr>
          <w:sz w:val="22"/>
        </w:rPr>
      </w:r>
    </w:p>
    <w:sectPr>
      <w:headerReference w:type="default" r:id="rId2"/>
      <w:headerReference w:type="first" r:id="rId3"/>
      <w:footerReference w:type="default" r:id="rId4"/>
      <w:footerReference w:type="first" r:id="rId5"/>
      <w:type w:val="nextPage"/>
      <w:pgSz w:orient="landscape" w:w="20160" w:h="12240"/>
      <w:pgMar w:left="1440" w:right="1440" w:gutter="0" w:header="576" w:top="1008" w:footer="807" w:bottom="86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/mnt/main-storage/datasets/enron-docs/doc/Project_list___09_18_01.doc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/mnt/main-storage/datasets/enron-docs/doc/Project_list___09_18_01.doc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p>
    <w:pPr>
      <w:pStyle w:val="Header"/>
      <w:jc w:val="center"/>
      <w:rPr/>
    </w:pPr>
    <w:r>
      <w:rPr>
        <w:b/>
        <w:bCs/>
      </w:rPr>
      <w:t>SAMANTHA BOYD</w:t>
    </w:r>
    <w:r>
      <w:rPr/>
      <w:t xml:space="preserve"> -</w:t>
    </w:r>
    <w:r>
      <w:rPr>
        <w:b/>
        <w:bCs/>
      </w:rPr>
      <w:t xml:space="preserve"> PROJECT LIST</w:t>
    </w:r>
  </w:p>
  <w:p>
    <w:pPr>
      <w:pStyle w:val="Header"/>
      <w:jc w:val="center"/>
      <w:rPr>
        <w:u w:val="single"/>
      </w:rPr>
    </w:pPr>
    <w:r>
      <w:rPr>
        <w:u w:val="single"/>
      </w:rPr>
      <w:t>September 18, 2001</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53" w:end="153"/>
      <w:outlineLvl w:val="0"/>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2001-09-18T17:16:00Z</dcterms:created>
  <dc:creator>jrozycki</dc:creator>
  <dc:description/>
  <dc:language>en-CA</dc:language>
  <cp:lastModifiedBy>sboyd2</cp:lastModifiedBy>
  <cp:lastPrinted>2001-09-18T15:40:00Z</cp:lastPrinted>
  <dcterms:modified xsi:type="dcterms:W3CDTF">2001-09-18T18:13:00Z</dcterms:modified>
  <cp:revision>6</cp:revision>
  <dc:subject/>
  <dc:title>PROJECT</dc:title>
</cp:coreProperties>
</file>