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7568" w:type="dxa"/>
        <w:jc w:val="start"/>
        <w:tblInd w:w="0" w:type="dxa"/>
        <w:tblLayout w:type="fixed"/>
        <w:tblCellMar>
          <w:top w:w="0" w:type="dxa"/>
          <w:start w:w="108" w:type="dxa"/>
          <w:bottom w:w="0" w:type="dxa"/>
          <w:end w:w="108" w:type="dxa"/>
        </w:tblCellMar>
      </w:tblPr>
      <w:tblGrid>
        <w:gridCol w:w="648"/>
        <w:gridCol w:w="4680"/>
        <w:gridCol w:w="8280"/>
        <w:gridCol w:w="3960"/>
      </w:tblGrid>
      <w:tr>
        <w:trPr>
          <w:tblHeader w:val="true"/>
        </w:trPr>
        <w:tc>
          <w:tcPr>
            <w:tcW w:w="648" w:type="dxa"/>
            <w:tcBorders>
              <w:top w:val="single" w:sz="4" w:space="0" w:color="000000"/>
              <w:start w:val="single" w:sz="4" w:space="0" w:color="000000"/>
              <w:bottom w:val="single" w:sz="4" w:space="0" w:color="000000"/>
              <w:end w:val="single" w:sz="4" w:space="0" w:color="000000"/>
            </w:tcBorders>
          </w:tcPr>
          <w:p>
            <w:pPr>
              <w:pStyle w:val="Normal"/>
              <w:snapToGrid w:val="false"/>
              <w:spacing w:before="120" w:after="120"/>
              <w:jc w:val="center"/>
              <w:rPr>
                <w:b/>
                <w:bCs/>
                <w:u w:val="single"/>
              </w:rPr>
            </w:pPr>
            <w:r>
              <w:rPr>
                <w:b/>
                <w:bCs/>
                <w:u w:val="single"/>
              </w:rPr>
            </w:r>
          </w:p>
        </w:tc>
        <w:tc>
          <w:tcPr>
            <w:tcW w:w="46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pacing w:before="120" w:after="120"/>
              <w:rPr>
                <w:b/>
                <w:bCs/>
                <w:u w:val="single"/>
              </w:rPr>
            </w:pPr>
            <w:r>
              <w:rPr>
                <w:b/>
                <w:bCs/>
                <w:u w:val="single"/>
              </w:rPr>
              <w:t>PROJECT</w:t>
            </w:r>
          </w:p>
        </w:tc>
        <w:tc>
          <w:tcPr>
            <w:tcW w:w="828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STATUS / COMMENTS</w:t>
            </w:r>
          </w:p>
        </w:tc>
        <w:tc>
          <w:tcPr>
            <w:tcW w:w="3960"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bCs/>
                <w:u w:val="single"/>
              </w:rPr>
            </w:pPr>
            <w:r>
              <w:rPr>
                <w:b/>
                <w:bCs/>
                <w:u w:val="single"/>
              </w:rPr>
              <w:t>PRIORITY</w:t>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CommodityLogic LLC</w:t>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Project was launched 8/6</w:t>
            </w:r>
          </w:p>
          <w:p>
            <w:pPr>
              <w:pStyle w:val="Header"/>
              <w:tabs>
                <w:tab w:val="clear" w:pos="4320"/>
                <w:tab w:val="clear" w:pos="8640"/>
              </w:tabs>
              <w:rPr/>
            </w:pPr>
            <w:r>
              <w:rPr/>
              <w:t>Currently working on various matters, including:</w:t>
            </w:r>
          </w:p>
          <w:p>
            <w:pPr>
              <w:pStyle w:val="Header"/>
              <w:tabs>
                <w:tab w:val="clear" w:pos="4320"/>
                <w:tab w:val="clear" w:pos="8640"/>
              </w:tabs>
              <w:rPr/>
            </w:pPr>
            <w:r>
              <w:rPr/>
              <w:t>- ongoing discussions concerning methods of simplifying the sign-up and access process (probably though wholesale revisions to legal documentation)</w:t>
            </w:r>
          </w:p>
          <w:p>
            <w:pPr>
              <w:pStyle w:val="Header"/>
              <w:tabs>
                <w:tab w:val="clear" w:pos="4320"/>
                <w:tab w:val="clear" w:pos="8640"/>
              </w:tabs>
              <w:rPr/>
            </w:pPr>
            <w:r>
              <w:rPr/>
              <w:t>- following-up on all trademark issues related to new module names</w:t>
            </w:r>
          </w:p>
          <w:p>
            <w:pPr>
              <w:pStyle w:val="Header"/>
              <w:tabs>
                <w:tab w:val="clear" w:pos="4320"/>
                <w:tab w:val="clear" w:pos="8640"/>
              </w:tabs>
              <w:rPr/>
            </w:pPr>
            <w:r>
              <w:rPr/>
              <w:t>- reviewing software license agreement for supporting software</w:t>
            </w:r>
          </w:p>
          <w:p>
            <w:pPr>
              <w:pStyle w:val="Header"/>
              <w:tabs>
                <w:tab w:val="clear" w:pos="4320"/>
                <w:tab w:val="clear" w:pos="8640"/>
              </w:tabs>
              <w:rPr/>
            </w:pPr>
            <w:r>
              <w:rPr/>
              <w:t>- negotiating and finalizing third party hosting agreement with EDS for HUB neutrality</w:t>
            </w:r>
          </w:p>
          <w:p>
            <w:pPr>
              <w:pStyle w:val="Header"/>
              <w:tabs>
                <w:tab w:val="clear" w:pos="4320"/>
                <w:tab w:val="clear" w:pos="8640"/>
              </w:tabs>
              <w:rPr/>
            </w:pPr>
            <w:r>
              <w:rPr/>
              <w:t>- reviewing various issues concerning equity ownership in CommodityLogic</w:t>
            </w:r>
          </w:p>
          <w:p>
            <w:pPr>
              <w:pStyle w:val="Header"/>
              <w:tabs>
                <w:tab w:val="clear" w:pos="4320"/>
                <w:tab w:val="clear" w:pos="8640"/>
              </w:tabs>
              <w:rPr/>
            </w:pPr>
            <w:r>
              <w:rPr/>
              <w:t>- working with tax to determine scope of assets to be placed into CommodityLogic and possible formation of separate corporate entity to own CommodityHub</w:t>
            </w:r>
          </w:p>
          <w:p>
            <w:pPr>
              <w:pStyle w:val="Header"/>
              <w:tabs>
                <w:tab w:val="clear" w:pos="4320"/>
                <w:tab w:val="clear" w:pos="8640"/>
              </w:tabs>
              <w:rPr/>
            </w:pPr>
            <w:r>
              <w:rPr/>
              <w:t>- working on documentation for data feed from EOL to CommodityLogic for subsequent provision to EOL Counterparties (data to be raw deal data) and documentation for actual counterparty data service to be provided by CommodityLogic</w:t>
            </w:r>
          </w:p>
          <w:p>
            <w:pPr>
              <w:pStyle w:val="Header"/>
              <w:tabs>
                <w:tab w:val="clear" w:pos="4320"/>
                <w:tab w:val="clear" w:pos="8640"/>
              </w:tabs>
              <w:rPr/>
            </w:pPr>
            <w:r>
              <w:rPr/>
              <w:t>- Reviewing all facets of current Sempra confirmation site to ensure that no breach of confidentiality agreements has occurred – Sempra site has very similar look and feel.  Interviewing various CommodityLogic personnel and reviewing background documents.</w:t>
            </w:r>
          </w:p>
          <w:p>
            <w:pPr>
              <w:pStyle w:val="Header"/>
              <w:tabs>
                <w:tab w:val="clear" w:pos="4320"/>
                <w:tab w:val="clear" w:pos="8640"/>
              </w:tabs>
              <w:rPr/>
            </w:pPr>
            <w:r>
              <w:rPr/>
            </w:r>
          </w:p>
          <w:p>
            <w:pPr>
              <w:pStyle w:val="Header"/>
              <w:tabs>
                <w:tab w:val="clear" w:pos="4320"/>
                <w:tab w:val="clear" w:pos="8640"/>
              </w:tabs>
              <w:rPr/>
            </w:pPr>
            <w:r>
              <w:rPr/>
              <w:t>Client – Tom Gros/various CL personnel</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ENA – Natural Gas Capacity</w:t>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Working on possible acquisition of software and other intellectual property from Skipping Stone, Inc. and CapacityCenter, Inc.</w:t>
            </w:r>
          </w:p>
          <w:p>
            <w:pPr>
              <w:pStyle w:val="Header"/>
              <w:tabs>
                <w:tab w:val="clear" w:pos="4320"/>
                <w:tab w:val="clear" w:pos="8640"/>
              </w:tabs>
              <w:rPr/>
            </w:pPr>
            <w:r>
              <w:rPr/>
              <w:t xml:space="preserve"> – </w:t>
            </w:r>
            <w:r>
              <w:rPr/>
              <w:t>assets are key elements supporting a gas industry information data base containing information associated with pipeline capacity offers, awards and releases</w:t>
            </w:r>
          </w:p>
          <w:p>
            <w:pPr>
              <w:pStyle w:val="Header"/>
              <w:tabs>
                <w:tab w:val="clear" w:pos="4320"/>
                <w:tab w:val="clear" w:pos="8640"/>
              </w:tabs>
              <w:rPr/>
            </w:pPr>
            <w:r>
              <w:rPr/>
              <w:t>- assets also work within the data base to enable industry customers to obtain historical information</w:t>
            </w:r>
          </w:p>
          <w:p>
            <w:pPr>
              <w:pStyle w:val="Header"/>
              <w:tabs>
                <w:tab w:val="clear" w:pos="4320"/>
                <w:tab w:val="clear" w:pos="8640"/>
              </w:tabs>
              <w:rPr/>
            </w:pPr>
            <w:r>
              <w:rPr/>
              <w:t>- have assessed need for continued due diligence prior to entering into any definitive agreements</w:t>
            </w:r>
          </w:p>
          <w:p>
            <w:pPr>
              <w:pStyle w:val="Header"/>
              <w:tabs>
                <w:tab w:val="clear" w:pos="4320"/>
                <w:tab w:val="clear" w:pos="8640"/>
              </w:tabs>
              <w:rPr/>
            </w:pPr>
            <w:r>
              <w:rPr/>
              <w:t>- have V&amp;E involved in acquisition for document preparation; however, matter has slowed at this time</w:t>
            </w:r>
          </w:p>
          <w:p>
            <w:pPr>
              <w:pStyle w:val="Header"/>
              <w:tabs>
                <w:tab w:val="clear" w:pos="4320"/>
                <w:tab w:val="clear" w:pos="8640"/>
              </w:tabs>
              <w:rPr/>
            </w:pPr>
            <w:r>
              <w:rPr/>
            </w:r>
          </w:p>
          <w:p>
            <w:pPr>
              <w:pStyle w:val="Header"/>
              <w:tabs>
                <w:tab w:val="clear" w:pos="4320"/>
                <w:tab w:val="clear" w:pos="8640"/>
              </w:tabs>
              <w:rPr/>
            </w:pPr>
            <w:r>
              <w:rPr/>
              <w:t xml:space="preserve">Client – Julie Gomez (Project obtained from Steve VanHooser) </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Deal Bench</w:t>
            </w:r>
          </w:p>
        </w:tc>
        <w:tc>
          <w:tcPr>
            <w:tcW w:w="828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Working on the following matters:</w:t>
            </w:r>
          </w:p>
          <w:p>
            <w:pPr>
              <w:pStyle w:val="Header"/>
              <w:tabs>
                <w:tab w:val="clear" w:pos="4320"/>
                <w:tab w:val="clear" w:pos="8640"/>
              </w:tabs>
              <w:rPr/>
            </w:pPr>
            <w:r>
              <w:rPr/>
              <w:t>- Overall organization and review of files obtained from Nora Dobin</w:t>
            </w:r>
          </w:p>
          <w:p>
            <w:pPr>
              <w:pStyle w:val="Header"/>
              <w:tabs>
                <w:tab w:val="clear" w:pos="4320"/>
                <w:tab w:val="clear" w:pos="8640"/>
              </w:tabs>
              <w:rPr/>
            </w:pPr>
            <w:r>
              <w:rPr/>
            </w:r>
          </w:p>
          <w:p>
            <w:pPr>
              <w:pStyle w:val="Header"/>
              <w:tabs>
                <w:tab w:val="clear" w:pos="4320"/>
                <w:tab w:val="clear" w:pos="8640"/>
              </w:tabs>
              <w:rPr/>
            </w:pPr>
            <w:r>
              <w:rPr/>
              <w:t>Client – Ross Mesquita</w:t>
            </w:r>
          </w:p>
        </w:tc>
        <w:tc>
          <w:tcPr>
            <w:tcW w:w="396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end w:val="single" w:sz="4" w:space="0" w:color="000000"/>
            </w:tcBorders>
          </w:tcPr>
          <w:p>
            <w:pPr>
              <w:pStyle w:val="Normal"/>
              <w:jc w:val="center"/>
              <w:rPr/>
            </w:pPr>
            <w:r>
              <w:rPr/>
              <w:t>4.</w:t>
            </w:r>
          </w:p>
        </w:tc>
        <w:tc>
          <w:tcPr>
            <w:tcW w:w="4680" w:type="dxa"/>
            <w:tcBorders>
              <w:top w:val="single" w:sz="4" w:space="0" w:color="000000"/>
              <w:start w:val="single" w:sz="4" w:space="0" w:color="000000"/>
              <w:end w:val="single" w:sz="4" w:space="0" w:color="000000"/>
            </w:tcBorders>
          </w:tcPr>
          <w:p>
            <w:pPr>
              <w:pStyle w:val="Normal"/>
              <w:rPr/>
            </w:pPr>
            <w:r>
              <w:rPr/>
              <w:t xml:space="preserve">EOL </w:t>
            </w:r>
          </w:p>
          <w:p>
            <w:pPr>
              <w:pStyle w:val="Normal"/>
              <w:rPr/>
            </w:pPr>
            <w:r>
              <w:rPr/>
            </w:r>
          </w:p>
        </w:tc>
        <w:tc>
          <w:tcPr>
            <w:tcW w:w="8280" w:type="dxa"/>
            <w:tcBorders>
              <w:top w:val="single" w:sz="4" w:space="0" w:color="000000"/>
              <w:start w:val="single" w:sz="4" w:space="0" w:color="000000"/>
              <w:end w:val="single" w:sz="4" w:space="0" w:color="000000"/>
            </w:tcBorders>
          </w:tcPr>
          <w:p>
            <w:pPr>
              <w:pStyle w:val="Header"/>
              <w:tabs>
                <w:tab w:val="clear" w:pos="4320"/>
                <w:tab w:val="clear" w:pos="8640"/>
              </w:tabs>
              <w:rPr/>
            </w:pPr>
            <w:r>
              <w:rPr/>
              <w:t xml:space="preserve"> </w:t>
            </w:r>
            <w:r>
              <w:rPr/>
              <w:t>- Working On various ETA Amendments for EOL</w:t>
            </w:r>
          </w:p>
          <w:p>
            <w:pPr>
              <w:pStyle w:val="Header"/>
              <w:tabs>
                <w:tab w:val="clear" w:pos="4320"/>
                <w:tab w:val="clear" w:pos="8640"/>
              </w:tabs>
              <w:rPr/>
            </w:pPr>
            <w:r>
              <w:rPr/>
              <w:t>- Working on documentation for BrokerClient matter with APB Energy – European operations</w:t>
            </w:r>
          </w:p>
          <w:p>
            <w:pPr>
              <w:pStyle w:val="Header"/>
              <w:tabs>
                <w:tab w:val="clear" w:pos="4320"/>
                <w:tab w:val="clear" w:pos="8640"/>
              </w:tabs>
              <w:rPr/>
            </w:pPr>
            <w:r>
              <w:rPr/>
              <w:t>- Working on various channel marketing issues associated with former Project Offline (attempted sale of EOL software)</w:t>
            </w:r>
          </w:p>
          <w:p>
            <w:pPr>
              <w:pStyle w:val="Header"/>
              <w:tabs>
                <w:tab w:val="clear" w:pos="4320"/>
                <w:tab w:val="clear" w:pos="8640"/>
              </w:tabs>
              <w:rPr/>
            </w:pPr>
            <w:r>
              <w:rPr/>
              <w:t>- Working on various NDA’s</w:t>
            </w:r>
          </w:p>
          <w:p>
            <w:pPr>
              <w:pStyle w:val="Header"/>
              <w:tabs>
                <w:tab w:val="clear" w:pos="4320"/>
                <w:tab w:val="clear" w:pos="8640"/>
              </w:tabs>
              <w:rPr/>
            </w:pPr>
            <w:r>
              <w:rPr/>
            </w:r>
          </w:p>
          <w:p>
            <w:pPr>
              <w:pStyle w:val="Header"/>
              <w:tabs>
                <w:tab w:val="clear" w:pos="4320"/>
                <w:tab w:val="clear" w:pos="8640"/>
              </w:tabs>
              <w:rPr/>
            </w:pPr>
            <w:r>
              <w:rPr/>
              <w:t>Client – Various</w:t>
            </w:r>
          </w:p>
        </w:tc>
        <w:tc>
          <w:tcPr>
            <w:tcW w:w="3960"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pPr>
            <w:r>
              <w:rPr/>
            </w:r>
          </w:p>
        </w:tc>
      </w:tr>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4680" w:type="dxa"/>
            <w:tcBorders>
              <w:top w:val="single" w:sz="4" w:space="0" w:color="000000"/>
              <w:start w:val="single" w:sz="4" w:space="0" w:color="000000"/>
              <w:bottom w:val="single" w:sz="4" w:space="0" w:color="000000"/>
              <w:end w:val="single" w:sz="4" w:space="0" w:color="000000"/>
            </w:tcBorders>
          </w:tcPr>
          <w:p>
            <w:pPr>
              <w:pStyle w:val="Normal"/>
              <w:rPr/>
            </w:pPr>
            <w:r>
              <w:rPr/>
              <w:t>Electronic Signatures Project – Ilumin Corporation</w:t>
            </w:r>
          </w:p>
          <w:p>
            <w:pPr>
              <w:pStyle w:val="Normal"/>
              <w:rPr/>
            </w:pPr>
            <w:r>
              <w:rPr/>
            </w:r>
          </w:p>
        </w:tc>
        <w:tc>
          <w:tcPr>
            <w:tcW w:w="8280" w:type="dxa"/>
            <w:tcBorders>
              <w:top w:val="single" w:sz="4" w:space="0" w:color="000000"/>
              <w:start w:val="single" w:sz="4" w:space="0" w:color="000000"/>
              <w:bottom w:val="single" w:sz="4" w:space="0" w:color="000000"/>
              <w:end w:val="single" w:sz="4" w:space="0" w:color="000000"/>
            </w:tcBorders>
          </w:tcPr>
          <w:p>
            <w:pPr>
              <w:pStyle w:val="Normal"/>
              <w:rPr/>
            </w:pPr>
            <w:r>
              <w:rPr/>
              <w:t>Reviewing and testing initial interface of Ilumin product with internal programs.</w:t>
            </w:r>
          </w:p>
          <w:p>
            <w:pPr>
              <w:pStyle w:val="Normal"/>
              <w:rPr/>
            </w:pPr>
            <w:r>
              <w:rPr/>
              <w:t>Discussing implementation of project with RAC</w:t>
            </w:r>
          </w:p>
        </w:tc>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jc w:val="center"/>
              <w:rPr/>
            </w:pPr>
            <w:r>
              <w:rPr/>
              <w:t>6.</w:t>
            </w:r>
          </w:p>
        </w:tc>
        <w:tc>
          <w:tcPr>
            <w:tcW w:w="4680" w:type="dxa"/>
            <w:tcBorders>
              <w:top w:val="single" w:sz="4" w:space="0" w:color="000000"/>
              <w:start w:val="single" w:sz="4" w:space="0" w:color="000000"/>
              <w:end w:val="single" w:sz="4" w:space="0" w:color="000000"/>
            </w:tcBorders>
          </w:tcPr>
          <w:p>
            <w:pPr>
              <w:pStyle w:val="Header"/>
              <w:tabs>
                <w:tab w:val="clear" w:pos="4320"/>
                <w:tab w:val="clear" w:pos="8640"/>
              </w:tabs>
              <w:rPr>
                <w:caps/>
              </w:rPr>
            </w:pPr>
            <w:r>
              <w:rPr>
                <w:caps/>
              </w:rPr>
              <w:t>L</w:t>
            </w:r>
            <w:r>
              <w:rPr/>
              <w:t>egalOnline Legal Dept. Website</w:t>
            </w:r>
          </w:p>
          <w:p>
            <w:pPr>
              <w:pStyle w:val="Header"/>
              <w:tabs>
                <w:tab w:val="clear" w:pos="4320"/>
                <w:tab w:val="clear" w:pos="8640"/>
              </w:tabs>
              <w:rPr>
                <w:caps/>
              </w:rPr>
            </w:pPr>
            <w:r>
              <w:rPr>
                <w:caps/>
              </w:rPr>
            </w:r>
          </w:p>
        </w:tc>
        <w:tc>
          <w:tcPr>
            <w:tcW w:w="8280" w:type="dxa"/>
            <w:tcBorders>
              <w:top w:val="single" w:sz="4" w:space="0" w:color="000000"/>
              <w:start w:val="single" w:sz="4" w:space="0" w:color="000000"/>
              <w:end w:val="single" w:sz="4" w:space="0" w:color="000000"/>
            </w:tcBorders>
          </w:tcPr>
          <w:p>
            <w:pPr>
              <w:pStyle w:val="Normal"/>
              <w:rPr/>
            </w:pPr>
            <w:r>
              <w:rPr/>
              <w:t>- Working on database migration from Notes/Access to Oracle and Live Link</w:t>
            </w:r>
          </w:p>
          <w:p>
            <w:pPr>
              <w:pStyle w:val="Normal"/>
              <w:rPr/>
            </w:pPr>
            <w:r>
              <w:rPr/>
              <w:t>- Working on Phase II site updates including incorporation of various search tools</w:t>
            </w:r>
          </w:p>
          <w:p>
            <w:pPr>
              <w:pStyle w:val="Normal"/>
              <w:rPr/>
            </w:pPr>
            <w:r>
              <w:rPr/>
              <w:t>- Working on new look and feel of site</w:t>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rPr/>
            </w:pPr>
            <w:r>
              <w:rPr/>
              <w:t xml:space="preserve">  </w:t>
            </w:r>
            <w:r>
              <w:rPr/>
              <w:t>7.</w:t>
            </w:r>
          </w:p>
        </w:tc>
        <w:tc>
          <w:tcPr>
            <w:tcW w:w="4680" w:type="dxa"/>
            <w:tcBorders>
              <w:top w:val="single" w:sz="4" w:space="0" w:color="000000"/>
              <w:start w:val="single" w:sz="4" w:space="0" w:color="000000"/>
              <w:end w:val="single" w:sz="4" w:space="0" w:color="000000"/>
            </w:tcBorders>
          </w:tcPr>
          <w:p>
            <w:pPr>
              <w:pStyle w:val="Normal"/>
              <w:rPr/>
            </w:pPr>
            <w:r>
              <w:rPr/>
              <w:t>Misc. Software Review</w:t>
            </w:r>
          </w:p>
        </w:tc>
        <w:tc>
          <w:tcPr>
            <w:tcW w:w="8280" w:type="dxa"/>
            <w:tcBorders>
              <w:top w:val="single" w:sz="4" w:space="0" w:color="000000"/>
              <w:start w:val="single" w:sz="4" w:space="0" w:color="000000"/>
              <w:end w:val="single" w:sz="4" w:space="0" w:color="000000"/>
            </w:tcBorders>
          </w:tcPr>
          <w:p>
            <w:pPr>
              <w:pStyle w:val="Normal"/>
              <w:rPr/>
            </w:pPr>
            <w:r>
              <w:rPr/>
              <w:t>- Working on Corp. software license and related documentation for BEA Software, Inc. (effort being coordinated with Laine Borgman) – product to be used by or is currently used by various Enron groups (including EOL and CommodityLogic)</w:t>
            </w:r>
          </w:p>
          <w:p>
            <w:pPr>
              <w:pStyle w:val="Normal"/>
              <w:rPr/>
            </w:pPr>
            <w:r>
              <w:rPr/>
            </w:r>
          </w:p>
          <w:p>
            <w:pPr>
              <w:pStyle w:val="Normal"/>
              <w:rPr/>
            </w:pPr>
            <w:r>
              <w:rPr/>
              <w:t>- Looking at the following products for possible Enron/ENW use:</w:t>
            </w:r>
          </w:p>
          <w:p>
            <w:pPr>
              <w:pStyle w:val="Normal"/>
              <w:rPr/>
            </w:pPr>
            <w:r>
              <w:rPr/>
            </w:r>
          </w:p>
          <w:p>
            <w:pPr>
              <w:pStyle w:val="Normal"/>
              <w:rPr/>
            </w:pPr>
            <w:r>
              <w:rPr/>
              <w:t xml:space="preserve">   </w:t>
            </w:r>
            <w:r>
              <w:rPr/>
              <w:t>- SignalSign – single password/id identification tool for use across numerous systems all requiring a password/id</w:t>
            </w:r>
          </w:p>
          <w:p>
            <w:pPr>
              <w:pStyle w:val="Normal"/>
              <w:rPr/>
            </w:pPr>
            <w:r>
              <w:rPr/>
              <w:t xml:space="preserve">   </w:t>
            </w:r>
            <w:r>
              <w:rPr/>
              <w:t>- iWitness, Inc. – e-mail system used to catalog and store e-mail files for compliance and litigation purposes</w:t>
            </w:r>
          </w:p>
          <w:p>
            <w:pPr>
              <w:pStyle w:val="Normal"/>
              <w:rPr/>
            </w:pPr>
            <w:r>
              <w:rPr/>
              <w:t xml:space="preserve">   </w:t>
            </w:r>
            <w:r>
              <w:rPr/>
              <w:t>- LRN – internet module education product used to provide training on various legal concepts in a generalized format</w:t>
            </w:r>
          </w:p>
          <w:p>
            <w:pPr>
              <w:pStyle w:val="Normal"/>
              <w:rPr/>
            </w:pPr>
            <w:r>
              <w:rPr/>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top w:val="single" w:sz="4" w:space="0" w:color="000000"/>
              <w:start w:val="single" w:sz="4" w:space="0" w:color="000000"/>
              <w:end w:val="single" w:sz="4" w:space="0" w:color="000000"/>
            </w:tcBorders>
          </w:tcPr>
          <w:p>
            <w:pPr>
              <w:pStyle w:val="Normal"/>
              <w:snapToGrid w:val="false"/>
              <w:jc w:val="center"/>
              <w:rPr/>
            </w:pPr>
            <w:r>
              <w:rPr/>
            </w:r>
          </w:p>
        </w:tc>
        <w:tc>
          <w:tcPr>
            <w:tcW w:w="4680" w:type="dxa"/>
            <w:tcBorders>
              <w:top w:val="single" w:sz="4" w:space="0" w:color="000000"/>
              <w:start w:val="single" w:sz="4" w:space="0" w:color="000000"/>
              <w:end w:val="single" w:sz="4" w:space="0" w:color="000000"/>
            </w:tcBorders>
          </w:tcPr>
          <w:p>
            <w:pPr>
              <w:pStyle w:val="Header"/>
              <w:tabs>
                <w:tab w:val="clear" w:pos="4320"/>
                <w:tab w:val="clear" w:pos="8640"/>
              </w:tabs>
              <w:snapToGrid w:val="false"/>
              <w:rPr>
                <w:caps/>
              </w:rPr>
            </w:pPr>
            <w:r>
              <w:rPr>
                <w:caps/>
              </w:rPr>
            </w:r>
          </w:p>
        </w:tc>
        <w:tc>
          <w:tcPr>
            <w:tcW w:w="8280" w:type="dxa"/>
            <w:tcBorders>
              <w:top w:val="single" w:sz="4" w:space="0" w:color="000000"/>
              <w:start w:val="single" w:sz="4" w:space="0" w:color="000000"/>
              <w:end w:val="single" w:sz="4" w:space="0" w:color="000000"/>
            </w:tcBorders>
          </w:tcPr>
          <w:p>
            <w:pPr>
              <w:pStyle w:val="Normal"/>
              <w:snapToGrid w:val="false"/>
              <w:rPr>
                <w:caps/>
              </w:rPr>
            </w:pPr>
            <w:r>
              <w:rPr>
                <w:caps/>
              </w:rPr>
            </w:r>
          </w:p>
        </w:tc>
        <w:tc>
          <w:tcPr>
            <w:tcW w:w="3960" w:type="dxa"/>
            <w:tcBorders>
              <w:top w:val="single" w:sz="4" w:space="0" w:color="000000"/>
              <w:start w:val="single" w:sz="4" w:space="0" w:color="000000"/>
              <w:end w:val="single" w:sz="4" w:space="0" w:color="000000"/>
            </w:tcBorders>
          </w:tcPr>
          <w:p>
            <w:pPr>
              <w:pStyle w:val="Normal"/>
              <w:snapToGrid w:val="false"/>
              <w:rPr/>
            </w:pPr>
            <w:r>
              <w:rPr/>
            </w:r>
          </w:p>
        </w:tc>
      </w:tr>
      <w:tr>
        <w:trPr/>
        <w:tc>
          <w:tcPr>
            <w:tcW w:w="648" w:type="dxa"/>
            <w:tcBorders>
              <w:start w:val="single" w:sz="4" w:space="0" w:color="000000"/>
              <w:bottom w:val="single" w:sz="4" w:space="0" w:color="000000"/>
              <w:end w:val="single" w:sz="4" w:space="0" w:color="000000"/>
            </w:tcBorders>
          </w:tcPr>
          <w:p>
            <w:pPr>
              <w:pStyle w:val="Normal"/>
              <w:snapToGrid w:val="false"/>
              <w:rPr/>
            </w:pPr>
            <w:r>
              <w:rPr/>
            </w:r>
          </w:p>
        </w:tc>
        <w:tc>
          <w:tcPr>
            <w:tcW w:w="4680" w:type="dxa"/>
            <w:tcBorders>
              <w:start w:val="single" w:sz="4" w:space="0" w:color="000000"/>
              <w:bottom w:val="single" w:sz="4" w:space="0" w:color="000000"/>
              <w:end w:val="single" w:sz="4" w:space="0" w:color="000000"/>
            </w:tcBorders>
          </w:tcPr>
          <w:p>
            <w:pPr>
              <w:pStyle w:val="Normal"/>
              <w:snapToGrid w:val="false"/>
              <w:rPr/>
            </w:pPr>
            <w:r>
              <w:rPr/>
            </w:r>
          </w:p>
        </w:tc>
        <w:tc>
          <w:tcPr>
            <w:tcW w:w="8280" w:type="dxa"/>
            <w:tcBorders>
              <w:start w:val="single" w:sz="4" w:space="0" w:color="000000"/>
              <w:bottom w:val="single" w:sz="4" w:space="0" w:color="000000"/>
              <w:end w:val="single" w:sz="4" w:space="0" w:color="000000"/>
            </w:tcBorders>
          </w:tcPr>
          <w:p>
            <w:pPr>
              <w:pStyle w:val="Normal"/>
              <w:snapToGrid w:val="false"/>
              <w:rPr/>
            </w:pPr>
            <w:r>
              <w:rPr/>
            </w:r>
          </w:p>
        </w:tc>
        <w:tc>
          <w:tcPr>
            <w:tcW w:w="3960" w:type="dxa"/>
            <w:tcBorders>
              <w:start w:val="single" w:sz="4" w:space="0" w:color="000000"/>
              <w:bottom w:val="single" w:sz="4" w:space="0" w:color="000000"/>
              <w:end w:val="single" w:sz="4" w:space="0" w:color="000000"/>
            </w:tcBorders>
          </w:tcPr>
          <w:p>
            <w:pPr>
              <w:pStyle w:val="Normal"/>
              <w:snapToGrid w:val="false"/>
              <w:rPr/>
            </w:pPr>
            <w:r>
              <w:rPr/>
            </w:r>
          </w:p>
        </w:tc>
      </w:tr>
    </w:tbl>
    <w:p>
      <w:pPr>
        <w:pStyle w:val="Normal"/>
        <w:jc w:val="center"/>
        <w:rPr/>
      </w:pPr>
      <w:r>
        <w:rPr/>
      </w:r>
    </w:p>
    <w:sectPr>
      <w:headerReference w:type="default" r:id="rId2"/>
      <w:headerReference w:type="first" r:id="rId3"/>
      <w:footerReference w:type="default" r:id="rId4"/>
      <w:footerReference w:type="first" r:id="rId5"/>
      <w:type w:val="nextPage"/>
      <w:pgSz w:orient="landscape" w:w="20160" w:h="12240"/>
      <w:pgMar w:left="1440" w:right="1440" w:gutter="0" w:header="576" w:top="1008" w:footer="432"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/mnt/main-storage/datasets/enron-docs/doc/Project_list__10_03_01_-e63f181c203d719b061f45a935b9d233ef72d1d82af16ef4e0ad158caadc1936.doc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sz w:val="16"/>
      </w:rPr>
      <w:fldChar w:fldCharType="begin"/>
    </w:r>
    <w:r>
      <w:rPr>
        <w:sz w:val="16"/>
      </w:rPr>
      <w:instrText xml:space="preserve"> FILENAME \p </w:instrText>
    </w:r>
    <w:r>
      <w:rPr>
        <w:sz w:val="16"/>
      </w:rPr>
      <w:fldChar w:fldCharType="separate"/>
    </w:r>
    <w:r>
      <w:rPr>
        <w:sz w:val="16"/>
      </w:rPr>
      <w:t>/mnt/main-storage/datasets/enron-docs/doc/Project_list__10_03_01_-e63f181c203d719b061f45a935b9d233ef72d1d82af16ef4e0ad158caadc1936.doc</w:t>
    </w:r>
    <w:r>
      <w:rPr>
        <w:sz w:val="16"/>
      </w:rPr>
      <w:fldChar w:fldCharType="end"/>
    </w:r>
    <w:r>
      <w:rPr>
        <w:sz w:val="16"/>
      </w:rPr>
      <w:tab/>
      <w:tab/>
      <w:tab/>
      <w:tab/>
      <w:tab/>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jc w:val="center"/>
      <w:rPr>
        <w:b/>
        <w:bCs/>
      </w:rPr>
    </w:pPr>
    <w:r>
      <w:rPr>
        <w:b/>
        <w:bCs/>
      </w:rPr>
      <w:t>PROJECT LIST FOR MARK GREENBERG</w:t>
    </w:r>
  </w:p>
  <w:p>
    <w:pPr>
      <w:pStyle w:val="Header"/>
      <w:jc w:val="center"/>
      <w:rPr>
        <w:u w:val="single"/>
      </w:rPr>
    </w:pPr>
    <w:r>
      <w:rPr>
        <w:u w:val="single"/>
      </w:rPr>
      <w:t>October 3, 2001</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53" w:end="153"/>
      <w:outlineLvl w:val="0"/>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2001-10-03T11:26:00Z</dcterms:created>
  <dc:creator>jrozycki</dc:creator>
  <dc:description/>
  <dc:language>en-CA</dc:language>
  <cp:lastModifiedBy>mgreenbe</cp:lastModifiedBy>
  <cp:lastPrinted>2001-08-10T12:59:00Z</cp:lastPrinted>
  <dcterms:modified xsi:type="dcterms:W3CDTF">2001-10-03T11:40:00Z</dcterms:modified>
  <cp:revision>3</cp:revision>
  <dc:subject/>
  <dc:title>PROJECT</dc:title>
</cp:coreProperties>
</file>