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7568" w:type="dxa"/>
        <w:jc w:val="start"/>
        <w:tblInd w:w="0" w:type="dxa"/>
        <w:tblLayout w:type="fixed"/>
        <w:tblCellMar>
          <w:top w:w="0" w:type="dxa"/>
          <w:start w:w="108" w:type="dxa"/>
          <w:bottom w:w="0" w:type="dxa"/>
          <w:end w:w="108" w:type="dxa"/>
        </w:tblCellMar>
      </w:tblPr>
      <w:tblGrid>
        <w:gridCol w:w="648"/>
        <w:gridCol w:w="4680"/>
        <w:gridCol w:w="8280"/>
        <w:gridCol w:w="3960"/>
      </w:tblGrid>
      <w:tr>
        <w:trPr>
          <w:tblHeader w:val="true"/>
        </w:trPr>
        <w:tc>
          <w:tcPr>
            <w:tcW w:w="64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b/>
                <w:bCs/>
                <w:u w:val="single"/>
              </w:rPr>
            </w:pPr>
            <w:r>
              <w:rPr>
                <w:b/>
                <w:bCs/>
                <w:u w:val="single"/>
              </w:rPr>
            </w:r>
          </w:p>
        </w:tc>
        <w:tc>
          <w:tcPr>
            <w:tcW w:w="46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120" w:after="120"/>
              <w:rPr>
                <w:b/>
                <w:bCs/>
                <w:u w:val="single"/>
              </w:rPr>
            </w:pPr>
            <w:r>
              <w:rPr>
                <w:b/>
                <w:bCs/>
                <w:u w:val="single"/>
              </w:rPr>
              <w:t>PROJECT</w:t>
            </w:r>
          </w:p>
        </w:tc>
        <w:tc>
          <w:tcPr>
            <w:tcW w:w="828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bCs/>
                <w:u w:val="single"/>
              </w:rPr>
            </w:pPr>
            <w:r>
              <w:rPr>
                <w:b/>
                <w:bCs/>
                <w:u w:val="single"/>
              </w:rPr>
              <w:t>STATUS / COMMENTS</w:t>
            </w:r>
          </w:p>
        </w:tc>
        <w:tc>
          <w:tcPr>
            <w:tcW w:w="396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bCs/>
                <w:u w:val="single"/>
              </w:rPr>
            </w:pPr>
            <w:r>
              <w:rPr>
                <w:b/>
                <w:bCs/>
                <w:u w:val="single"/>
              </w:rPr>
              <w:t>PRIORITY</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ISDA negotiations:  Negotiate and review various ISDA Masters, confirms, guarantys, etc.</w:t>
            </w:r>
          </w:p>
          <w:p>
            <w:pPr>
              <w:pStyle w:val="Normal"/>
              <w:rPr/>
            </w:pPr>
            <w:r>
              <w:rPr/>
            </w:r>
          </w:p>
          <w:p>
            <w:pPr>
              <w:pStyle w:val="Normal"/>
              <w:rPr/>
            </w:pPr>
            <w:r>
              <w:rPr/>
            </w:r>
          </w:p>
        </w:tc>
        <w:tc>
          <w:tcPr>
            <w:tcW w:w="82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The following ISDA has a very high priority:  Canadian Hunter Resources</w:t>
            </w:r>
          </w:p>
        </w:tc>
        <w:tc>
          <w:tcPr>
            <w:tcW w:w="39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Varies </w:t>
            </w:r>
          </w:p>
        </w:tc>
      </w:tr>
      <w:tr>
        <w:trPr/>
        <w:tc>
          <w:tcPr>
            <w:tcW w:w="648" w:type="dxa"/>
            <w:tcBorders>
              <w:top w:val="single" w:sz="4" w:space="0" w:color="000000"/>
              <w:start w:val="single" w:sz="4" w:space="0" w:color="000000"/>
              <w:end w:val="single" w:sz="4" w:space="0" w:color="000000"/>
            </w:tcBorders>
          </w:tcPr>
          <w:p>
            <w:pPr>
              <w:pStyle w:val="Normal"/>
              <w:jc w:val="center"/>
              <w:rPr/>
            </w:pPr>
            <w:r>
              <w:rPr/>
              <w:t>2.</w:t>
            </w:r>
          </w:p>
        </w:tc>
        <w:tc>
          <w:tcPr>
            <w:tcW w:w="4680" w:type="dxa"/>
            <w:tcBorders>
              <w:top w:val="single" w:sz="4" w:space="0" w:color="000000"/>
              <w:start w:val="single" w:sz="4" w:space="0" w:color="000000"/>
              <w:end w:val="single" w:sz="4" w:space="0" w:color="000000"/>
            </w:tcBorders>
          </w:tcPr>
          <w:p>
            <w:pPr>
              <w:pStyle w:val="Normal"/>
              <w:rPr/>
            </w:pPr>
            <w:r>
              <w:rPr/>
              <w:t>Negotiate various Confidentiality Agreements</w:t>
            </w:r>
          </w:p>
          <w:p>
            <w:pPr>
              <w:pStyle w:val="Normal"/>
              <w:rPr/>
            </w:pPr>
            <w:r>
              <w:rPr/>
              <w:t>For Enron Net Works and Enron Credit</w:t>
            </w:r>
          </w:p>
        </w:tc>
        <w:tc>
          <w:tcPr>
            <w:tcW w:w="8280" w:type="dxa"/>
            <w:tcBorders>
              <w:top w:val="single" w:sz="4" w:space="0" w:color="000000"/>
              <w:start w:val="single" w:sz="4" w:space="0" w:color="000000"/>
              <w:end w:val="single" w:sz="4" w:space="0" w:color="000000"/>
            </w:tcBorders>
          </w:tcPr>
          <w:p>
            <w:pPr>
              <w:pStyle w:val="Header"/>
              <w:tabs>
                <w:tab w:val="clear" w:pos="4320"/>
                <w:tab w:val="clear" w:pos="8640"/>
              </w:tabs>
              <w:rPr/>
            </w:pPr>
            <w:r>
              <w:rPr/>
              <w:t>Ongoing</w:t>
            </w:r>
          </w:p>
        </w:tc>
        <w:tc>
          <w:tcPr>
            <w:tcW w:w="3960" w:type="dxa"/>
            <w:tcBorders>
              <w:top w:val="single" w:sz="4" w:space="0" w:color="000000"/>
              <w:start w:val="single" w:sz="4" w:space="0" w:color="000000"/>
              <w:end w:val="single" w:sz="4" w:space="0" w:color="000000"/>
            </w:tcBorders>
          </w:tcPr>
          <w:p>
            <w:pPr>
              <w:pStyle w:val="Header"/>
              <w:tabs>
                <w:tab w:val="clear" w:pos="4320"/>
                <w:tab w:val="clear" w:pos="8640"/>
              </w:tabs>
              <w:rPr/>
            </w:pPr>
            <w:r>
              <w:rPr/>
              <w:t>Varies, but usually needed on quick turnaround basis</w:t>
            </w:r>
          </w:p>
        </w:tc>
      </w:tr>
      <w:tr>
        <w:trPr/>
        <w:tc>
          <w:tcPr>
            <w:tcW w:w="648" w:type="dxa"/>
            <w:tcBorders>
              <w:start w:val="single" w:sz="4" w:space="0" w:color="000000"/>
              <w:end w:val="single" w:sz="4" w:space="0" w:color="000000"/>
            </w:tcBorders>
          </w:tcPr>
          <w:p>
            <w:pPr>
              <w:pStyle w:val="Normal"/>
              <w:snapToGrid w:val="false"/>
              <w:jc w:val="center"/>
              <w:rPr/>
            </w:pPr>
            <w:r>
              <w:rPr/>
            </w:r>
          </w:p>
        </w:tc>
        <w:tc>
          <w:tcPr>
            <w:tcW w:w="4680" w:type="dxa"/>
            <w:tcBorders>
              <w:start w:val="single" w:sz="4" w:space="0" w:color="000000"/>
              <w:end w:val="single" w:sz="4" w:space="0" w:color="000000"/>
            </w:tcBorders>
          </w:tcPr>
          <w:p>
            <w:pPr>
              <w:pStyle w:val="Normal"/>
              <w:snapToGrid w:val="false"/>
              <w:rPr/>
            </w:pPr>
            <w:r>
              <w:rPr/>
            </w:r>
          </w:p>
        </w:tc>
        <w:tc>
          <w:tcPr>
            <w:tcW w:w="8280" w:type="dxa"/>
            <w:tcBorders>
              <w:start w:val="single" w:sz="4" w:space="0" w:color="000000"/>
              <w:end w:val="single" w:sz="4" w:space="0" w:color="000000"/>
            </w:tcBorders>
          </w:tcPr>
          <w:p>
            <w:pPr>
              <w:pStyle w:val="Normal"/>
              <w:snapToGrid w:val="false"/>
              <w:rPr/>
            </w:pPr>
            <w:r>
              <w:rPr/>
            </w:r>
          </w:p>
        </w:tc>
        <w:tc>
          <w:tcPr>
            <w:tcW w:w="3960" w:type="dxa"/>
            <w:tcBorders>
              <w:start w:val="single" w:sz="4" w:space="0" w:color="000000"/>
              <w:end w:val="single" w:sz="4" w:space="0" w:color="000000"/>
            </w:tcBorders>
          </w:tcPr>
          <w:p>
            <w:pPr>
              <w:pStyle w:val="Normal"/>
              <w:snapToGrid w:val="false"/>
              <w:rPr/>
            </w:pPr>
            <w:r>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Kiodex</w:t>
            </w:r>
          </w:p>
          <w:p>
            <w:pPr>
              <w:pStyle w:val="Normal"/>
              <w:rPr/>
            </w:pPr>
            <w:r>
              <w:rPr/>
            </w:r>
          </w:p>
          <w:p>
            <w:pPr>
              <w:pStyle w:val="Normal"/>
              <w:rPr/>
            </w:pPr>
            <w:r>
              <w:rPr/>
            </w:r>
          </w:p>
        </w:tc>
        <w:tc>
          <w:tcPr>
            <w:tcW w:w="8280" w:type="dxa"/>
            <w:tcBorders>
              <w:top w:val="single" w:sz="4" w:space="0" w:color="000000"/>
              <w:start w:val="single" w:sz="4" w:space="0" w:color="000000"/>
              <w:bottom w:val="single" w:sz="4" w:space="0" w:color="000000"/>
              <w:end w:val="single" w:sz="4" w:space="0" w:color="000000"/>
            </w:tcBorders>
          </w:tcPr>
          <w:p>
            <w:pPr>
              <w:pStyle w:val="Normal"/>
              <w:rPr/>
            </w:pPr>
            <w:r>
              <w:rPr/>
              <w:t xml:space="preserve">Amend Co-Marketing Agreement </w:t>
            </w:r>
          </w:p>
          <w:p>
            <w:pPr>
              <w:pStyle w:val="Normal"/>
              <w:rPr/>
            </w:pPr>
            <w:r>
              <w:rPr/>
              <w:t>Advise on issues of contract interpretation and compliance</w:t>
            </w:r>
          </w:p>
          <w:p>
            <w:pPr>
              <w:pStyle w:val="Normal"/>
              <w:rPr/>
            </w:pPr>
            <w:r>
              <w:rPr/>
              <w:t>Determine suitability to move to equity investment into off balance sheet vehicle</w:t>
            </w:r>
          </w:p>
        </w:tc>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High</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Andex Transaction</w:t>
            </w:r>
          </w:p>
          <w:p>
            <w:pPr>
              <w:pStyle w:val="Normal"/>
              <w:rPr/>
            </w:pPr>
            <w:r>
              <w:rPr/>
            </w:r>
          </w:p>
          <w:p>
            <w:pPr>
              <w:pStyle w:val="Normal"/>
              <w:rPr/>
            </w:pPr>
            <w:r>
              <w:rPr/>
            </w:r>
          </w:p>
        </w:tc>
        <w:tc>
          <w:tcPr>
            <w:tcW w:w="8280" w:type="dxa"/>
            <w:tcBorders>
              <w:top w:val="single" w:sz="4" w:space="0" w:color="000000"/>
              <w:start w:val="single" w:sz="4" w:space="0" w:color="000000"/>
              <w:bottom w:val="single" w:sz="4" w:space="0" w:color="000000"/>
              <w:end w:val="single" w:sz="4" w:space="0" w:color="000000"/>
            </w:tcBorders>
          </w:tcPr>
          <w:p>
            <w:pPr>
              <w:pStyle w:val="Normal"/>
              <w:rPr/>
            </w:pPr>
            <w:r>
              <w:rPr/>
              <w:t xml:space="preserve">Moved VPP into Brazos on August 10.  Prepared and reviewed confirms and assignment and amendment agreements </w:t>
            </w:r>
          </w:p>
        </w:tc>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Very High</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KCS Transaction</w:t>
            </w:r>
          </w:p>
          <w:p>
            <w:pPr>
              <w:pStyle w:val="Normal"/>
              <w:rPr/>
            </w:pPr>
            <w:r>
              <w:rPr/>
            </w:r>
          </w:p>
          <w:p>
            <w:pPr>
              <w:pStyle w:val="Normal"/>
              <w:rPr/>
            </w:pPr>
            <w:r>
              <w:rPr/>
            </w:r>
          </w:p>
        </w:tc>
        <w:tc>
          <w:tcPr>
            <w:tcW w:w="82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 xml:space="preserve">Share responsibility with Mary Cook on drafting and negotiating new ISDA, Amendment to exisitng ISDA, numerous confirms, assignments and amendments of existing confirms and terms of intercreditor agreement in connection with insurance wrap transaction </w:t>
            </w:r>
          </w:p>
        </w:tc>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Very High</w:t>
            </w:r>
          </w:p>
        </w:tc>
      </w:tr>
      <w:tr>
        <w:trPr/>
        <w:tc>
          <w:tcPr>
            <w:tcW w:w="648" w:type="dxa"/>
            <w:tcBorders>
              <w:top w:val="single" w:sz="4" w:space="0" w:color="000000"/>
              <w:start w:val="single" w:sz="4" w:space="0" w:color="000000"/>
              <w:end w:val="single" w:sz="4" w:space="0" w:color="000000"/>
            </w:tcBorders>
          </w:tcPr>
          <w:p>
            <w:pPr>
              <w:pStyle w:val="Normal"/>
              <w:jc w:val="center"/>
              <w:rPr/>
            </w:pPr>
            <w:r>
              <w:rPr/>
              <w:t>6.</w:t>
            </w:r>
          </w:p>
        </w:tc>
        <w:tc>
          <w:tcPr>
            <w:tcW w:w="4680" w:type="dxa"/>
            <w:tcBorders>
              <w:top w:val="single" w:sz="4" w:space="0" w:color="000000"/>
              <w:start w:val="single" w:sz="4" w:space="0" w:color="000000"/>
              <w:end w:val="single" w:sz="4" w:space="0" w:color="000000"/>
            </w:tcBorders>
          </w:tcPr>
          <w:p>
            <w:pPr>
              <w:pStyle w:val="Header"/>
              <w:tabs>
                <w:tab w:val="clear" w:pos="4320"/>
                <w:tab w:val="clear" w:pos="8640"/>
              </w:tabs>
              <w:rPr/>
            </w:pPr>
            <w:r>
              <w:rPr>
                <w:caps/>
              </w:rPr>
              <w:t>D</w:t>
            </w:r>
            <w:r>
              <w:rPr/>
              <w:t>elta Transaction</w:t>
            </w:r>
          </w:p>
          <w:p>
            <w:pPr>
              <w:pStyle w:val="Header"/>
              <w:tabs>
                <w:tab w:val="clear" w:pos="4320"/>
                <w:tab w:val="clear" w:pos="8640"/>
              </w:tabs>
              <w:rPr>
                <w:caps/>
              </w:rPr>
            </w:pPr>
            <w:r>
              <w:rPr>
                <w:caps/>
              </w:rPr>
            </w:r>
          </w:p>
        </w:tc>
        <w:tc>
          <w:tcPr>
            <w:tcW w:w="8280" w:type="dxa"/>
            <w:tcBorders>
              <w:top w:val="single" w:sz="4" w:space="0" w:color="000000"/>
              <w:start w:val="single" w:sz="4" w:space="0" w:color="000000"/>
              <w:end w:val="single" w:sz="4" w:space="0" w:color="000000"/>
            </w:tcBorders>
          </w:tcPr>
          <w:p>
            <w:pPr>
              <w:pStyle w:val="Normal"/>
              <w:rPr/>
            </w:pPr>
            <w:r>
              <w:rPr/>
              <w:t>Review swaps to be entered into in connection with issuance of a new Credit Link Note</w:t>
            </w:r>
          </w:p>
        </w:tc>
        <w:tc>
          <w:tcPr>
            <w:tcW w:w="3960" w:type="dxa"/>
            <w:tcBorders>
              <w:top w:val="single" w:sz="4" w:space="0" w:color="000000"/>
              <w:start w:val="single" w:sz="4" w:space="0" w:color="000000"/>
              <w:end w:val="single" w:sz="4" w:space="0" w:color="000000"/>
            </w:tcBorders>
          </w:tcPr>
          <w:p>
            <w:pPr>
              <w:pStyle w:val="Normal"/>
              <w:rPr/>
            </w:pPr>
            <w:r>
              <w:rPr/>
              <w:t>Very High</w:t>
            </w:r>
          </w:p>
        </w:tc>
      </w:tr>
      <w:tr>
        <w:trPr/>
        <w:tc>
          <w:tcPr>
            <w:tcW w:w="648" w:type="dxa"/>
            <w:tcBorders>
              <w:start w:val="single" w:sz="4" w:space="0" w:color="000000"/>
              <w:bottom w:val="single" w:sz="4" w:space="0" w:color="000000"/>
              <w:end w:val="single" w:sz="4" w:space="0" w:color="000000"/>
            </w:tcBorders>
          </w:tcPr>
          <w:p>
            <w:pPr>
              <w:pStyle w:val="Normal"/>
              <w:snapToGrid w:val="false"/>
              <w:jc w:val="center"/>
              <w:rPr/>
            </w:pPr>
            <w:r>
              <w:rPr/>
            </w:r>
          </w:p>
        </w:tc>
        <w:tc>
          <w:tcPr>
            <w:tcW w:w="4680" w:type="dxa"/>
            <w:tcBorders>
              <w:start w:val="single" w:sz="4" w:space="0" w:color="000000"/>
              <w:bottom w:val="single" w:sz="4" w:space="0" w:color="000000"/>
              <w:end w:val="single" w:sz="4" w:space="0" w:color="000000"/>
            </w:tcBorders>
          </w:tcPr>
          <w:p>
            <w:pPr>
              <w:pStyle w:val="Normal"/>
              <w:snapToGrid w:val="false"/>
              <w:rPr/>
            </w:pPr>
            <w:r>
              <w:rPr/>
            </w:r>
          </w:p>
        </w:tc>
        <w:tc>
          <w:tcPr>
            <w:tcW w:w="8280" w:type="dxa"/>
            <w:tcBorders>
              <w:start w:val="single" w:sz="4" w:space="0" w:color="000000"/>
              <w:bottom w:val="single" w:sz="4" w:space="0" w:color="000000"/>
              <w:end w:val="single" w:sz="4" w:space="0" w:color="000000"/>
            </w:tcBorders>
          </w:tcPr>
          <w:p>
            <w:pPr>
              <w:pStyle w:val="Normal"/>
              <w:snapToGrid w:val="false"/>
              <w:rPr/>
            </w:pPr>
            <w:r>
              <w:rPr/>
            </w:r>
          </w:p>
        </w:tc>
        <w:tc>
          <w:tcPr>
            <w:tcW w:w="3960" w:type="dxa"/>
            <w:tcBorders>
              <w:start w:val="single" w:sz="4" w:space="0" w:color="000000"/>
              <w:bottom w:val="single" w:sz="4" w:space="0" w:color="000000"/>
              <w:end w:val="single" w:sz="4" w:space="0" w:color="000000"/>
            </w:tcBorders>
          </w:tcPr>
          <w:p>
            <w:pPr>
              <w:pStyle w:val="Normal"/>
              <w:snapToGrid w:val="false"/>
              <w:rPr/>
            </w:pPr>
            <w:r>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Project Offline</w:t>
            </w:r>
          </w:p>
          <w:p>
            <w:pPr>
              <w:pStyle w:val="Normal"/>
              <w:rPr/>
            </w:pPr>
            <w:r>
              <w:rPr/>
            </w:r>
          </w:p>
          <w:p>
            <w:pPr>
              <w:pStyle w:val="Normal"/>
              <w:rPr/>
            </w:pPr>
            <w:r>
              <w:rPr/>
            </w:r>
          </w:p>
        </w:tc>
        <w:tc>
          <w:tcPr>
            <w:tcW w:w="8280" w:type="dxa"/>
            <w:tcBorders>
              <w:top w:val="single" w:sz="4" w:space="0" w:color="000000"/>
              <w:start w:val="single" w:sz="4" w:space="0" w:color="000000"/>
              <w:bottom w:val="single" w:sz="4" w:space="0" w:color="000000"/>
              <w:end w:val="single" w:sz="4" w:space="0" w:color="000000"/>
            </w:tcBorders>
          </w:tcPr>
          <w:p>
            <w:pPr>
              <w:pStyle w:val="Normal"/>
              <w:rPr/>
            </w:pPr>
            <w:r>
              <w:rPr/>
              <w:t>Unclear if this project will move forward and on what basis</w:t>
            </w:r>
          </w:p>
        </w:tc>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Currently low priority</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Review and negotiate third party electronic trading agreements</w:t>
            </w:r>
          </w:p>
          <w:p>
            <w:pPr>
              <w:pStyle w:val="Normal"/>
              <w:rPr/>
            </w:pPr>
            <w:r>
              <w:rPr/>
            </w:r>
          </w:p>
          <w:p>
            <w:pPr>
              <w:pStyle w:val="Header"/>
              <w:tabs>
                <w:tab w:val="clear" w:pos="4320"/>
                <w:tab w:val="clear" w:pos="8640"/>
              </w:tabs>
              <w:rPr/>
            </w:pPr>
            <w:r>
              <w:rPr/>
            </w:r>
          </w:p>
        </w:tc>
        <w:tc>
          <w:tcPr>
            <w:tcW w:w="8280" w:type="dxa"/>
            <w:tcBorders>
              <w:top w:val="single" w:sz="4" w:space="0" w:color="000000"/>
              <w:start w:val="single" w:sz="4" w:space="0" w:color="000000"/>
              <w:bottom w:val="single" w:sz="4" w:space="0" w:color="000000"/>
              <w:end w:val="single" w:sz="4" w:space="0" w:color="000000"/>
            </w:tcBorders>
          </w:tcPr>
          <w:p>
            <w:pPr>
              <w:pStyle w:val="Normal"/>
              <w:rPr/>
            </w:pPr>
            <w:r>
              <w:rPr/>
              <w:t>Ongoing</w:t>
            </w:r>
          </w:p>
        </w:tc>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Varies</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Project Merlin</w:t>
            </w:r>
          </w:p>
        </w:tc>
        <w:tc>
          <w:tcPr>
            <w:tcW w:w="8280" w:type="dxa"/>
            <w:tcBorders>
              <w:top w:val="single" w:sz="4" w:space="0" w:color="000000"/>
              <w:start w:val="single" w:sz="4" w:space="0" w:color="000000"/>
              <w:bottom w:val="single" w:sz="4" w:space="0" w:color="000000"/>
              <w:end w:val="single" w:sz="4" w:space="0" w:color="000000"/>
            </w:tcBorders>
          </w:tcPr>
          <w:p>
            <w:pPr>
              <w:pStyle w:val="Normal"/>
              <w:rPr/>
            </w:pPr>
            <w:r>
              <w:rPr/>
              <w:t>Complete unwind of this structure and reconvey all assets to ENA—should close August 16</w:t>
            </w:r>
          </w:p>
        </w:tc>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Very High</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10.  </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Project Triple Lutz</w:t>
            </w:r>
          </w:p>
        </w:tc>
        <w:tc>
          <w:tcPr>
            <w:tcW w:w="8280" w:type="dxa"/>
            <w:tcBorders>
              <w:top w:val="single" w:sz="4" w:space="0" w:color="000000"/>
              <w:start w:val="single" w:sz="4" w:space="0" w:color="000000"/>
              <w:bottom w:val="single" w:sz="4" w:space="0" w:color="000000"/>
              <w:end w:val="single" w:sz="4" w:space="0" w:color="000000"/>
            </w:tcBorders>
          </w:tcPr>
          <w:p>
            <w:pPr>
              <w:pStyle w:val="Normal"/>
              <w:rPr/>
            </w:pPr>
            <w:r>
              <w:rPr/>
              <w:t>Handle various legal matters related to sale of HPL--ongoing</w:t>
            </w:r>
          </w:p>
        </w:tc>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Varies</w:t>
            </w:r>
          </w:p>
        </w:tc>
      </w:tr>
    </w:tbl>
    <w:p>
      <w:pPr>
        <w:pStyle w:val="Normal"/>
        <w:jc w:val="center"/>
        <w:rPr/>
      </w:pPr>
      <w:r>
        <w:rPr/>
      </w:r>
    </w:p>
    <w:sectPr>
      <w:headerReference w:type="default" r:id="rId2"/>
      <w:headerReference w:type="first" r:id="rId3"/>
      <w:footerReference w:type="default" r:id="rId4"/>
      <w:footerReference w:type="first" r:id="rId5"/>
      <w:type w:val="nextPage"/>
      <w:pgSz w:orient="landscape" w:w="20160" w:h="12240"/>
      <w:pgMar w:left="1440" w:right="1440" w:gutter="0" w:header="576" w:top="1008"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sz w:val="16"/>
      </w:rPr>
      <w:fldChar w:fldCharType="begin"/>
    </w:r>
    <w:r>
      <w:rPr>
        <w:sz w:val="16"/>
      </w:rPr>
      <w:instrText xml:space="preserve"> FILENAME \p </w:instrText>
    </w:r>
    <w:r>
      <w:rPr>
        <w:sz w:val="16"/>
      </w:rPr>
      <w:fldChar w:fldCharType="separate"/>
    </w:r>
    <w:r>
      <w:rPr>
        <w:sz w:val="16"/>
      </w:rPr>
      <w:t>/mnt/main-storage/datasets/enron-docs/doc/Project_list_August_14.doc</w:t>
    </w:r>
    <w:r>
      <w:rPr>
        <w:sz w:val="16"/>
      </w:rPr>
      <w:fldChar w:fldCharType="end"/>
    </w:r>
    <w:r>
      <w:rPr>
        <w:sz w:val="16"/>
      </w:rPr>
      <w:tab/>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sz w:val="16"/>
      </w:rPr>
      <w:fldChar w:fldCharType="begin"/>
    </w:r>
    <w:r>
      <w:rPr>
        <w:sz w:val="16"/>
      </w:rPr>
      <w:instrText xml:space="preserve"> FILENAME \p </w:instrText>
    </w:r>
    <w:r>
      <w:rPr>
        <w:sz w:val="16"/>
      </w:rPr>
      <w:fldChar w:fldCharType="separate"/>
    </w:r>
    <w:r>
      <w:rPr>
        <w:sz w:val="16"/>
      </w:rPr>
      <w:t>/mnt/main-storage/datasets/enron-docs/doc/Project_list_August_14.doc</w:t>
    </w:r>
    <w:r>
      <w:rPr>
        <w:sz w:val="16"/>
      </w:rPr>
      <w:fldChar w:fldCharType="end"/>
    </w:r>
    <w:r>
      <w:rPr>
        <w:sz w:val="16"/>
      </w:rPr>
      <w:tab/>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center"/>
      <w:rPr>
        <w:b/>
        <w:bCs/>
      </w:rPr>
    </w:pPr>
    <w:r>
      <w:rPr>
        <w:b/>
        <w:bCs/>
      </w:rPr>
      <w:t>ANNE KOEHLER  PROJECT LIST</w:t>
    </w:r>
  </w:p>
  <w:p>
    <w:pPr>
      <w:pStyle w:val="Header"/>
      <w:jc w:val="center"/>
      <w:rPr>
        <w:b/>
        <w:bCs/>
      </w:rPr>
    </w:pPr>
    <w:r>
      <w:rPr>
        <w:b/>
        <w:bCs/>
      </w:rPr>
      <w:t>August 14, 2001</w:t>
    </w:r>
  </w:p>
  <w:p>
    <w:pPr>
      <w:pStyle w:val="Header"/>
      <w:rPr>
        <w:b/>
        <w:bCs/>
      </w:rPr>
    </w:pPr>
    <w:r>
      <w:rPr>
        <w:b/>
        <w:bCs/>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53" w:end="153"/>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2001-08-14T12:35:00Z</dcterms:created>
  <dc:creator>jrozycki</dc:creator>
  <dc:description/>
  <dc:language>en-CA</dc:language>
  <cp:lastModifiedBy>akoehle</cp:lastModifiedBy>
  <cp:lastPrinted>2001-08-14T10:05:00Z</cp:lastPrinted>
  <dcterms:modified xsi:type="dcterms:W3CDTF">2001-08-14T12:35:00Z</dcterms:modified>
  <cp:revision>2</cp:revision>
  <dc:subject/>
  <dc:title>PROJECT</dc:title>
</cp:coreProperties>
</file>