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u w:val="single"/>
              </w:rPr>
              <w:t>The following are ECC matters</w:t>
            </w:r>
            <w:r>
              <w:rPr/>
              <w:t>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Top Ten: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Dynegy Canada Inc. (under credit review)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Very High: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Aquila Capital and Trade Ltd.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High: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Cavell Energy Corporation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Due West Partnership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Medium: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  <w:bCs/>
              </w:rPr>
              <w:t>ENMAX Energy Corporation (Mary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No Priorty: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ATCO Power Canada Ltd. (awaiting counterparty contact)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The following are ENA matters: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Top Ten: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AIG Energy Trading Inc. (counterparty comments due week of 8/13)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  <w:bCs/>
              </w:rPr>
              <w:t>Smith Barney AAA Energy Fund L.P.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Very High: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  <w:bCs/>
              </w:rPr>
              <w:t>Devon Energy Corporation (revised draft w/Cheryl)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Alpac Forest Products Incorporated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High: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AEGIS Insurance Services, Inc. (Brent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Amerigas Propane, L.P. (in-house counel reviewing)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Catequil Overseas Partners Ltd. (Frank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CITGO Petroleum Corporation (first draft sent)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Cleco Marketing &amp; Trading LLC (Frank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Consolidated Edison Energy, Inc. (ISDA comparison w/Sara)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Consolidated Edison Solutions, Inc. (will mirror CEE ISDA)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Consumers Energy, Inc. (Rudwell to follow-up)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Dominion Exploration &amp; Production, Inc. (near execution stage per Cheryl)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Doublewood XLIM Fund Ltd. (sent for execution – docs forthcoming)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Doublewood XLIM Fund (USA) L.P. (sent for execution – docs forthcoming)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Fleet National Bank (awaiting comments of Counterparty)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Gibraltar Steel Corporation (first draft sent)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Growmark, Inc. (Frank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Hilcorp Energy I, L.P. (first draft sent)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Hunt Oil Company (first draft sent)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Inland Paperboard &amp; Packaging, Inc.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New York Electric &amp; Gas Corporation (executed – awaiting corporate incumbency &amp; W-9)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Petrocom Energy Group Limited (executed – awaiting GP certifcates)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Union Spring Fund (USA) L.P. (sent for execution – docs forthcoming)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  <w:t>Medium: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Duke Energy Field Services Marketing, LLC (credit review)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Procter &amp; Gamble Company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The following are RMT matters: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Enron Development Funding Ltd. (executed – awaiting W-8BEN)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Enron Netherlands Holding B.V. (sent for execution)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Enron Metall Recycling GmbH &amp; Co. KG (sent for execution)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See information under caption for Status/Comments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Louis Dreyfus Natural Gas Corp. (Jay Williams working 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Resource Strategies L.L.C. (executed)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Tenaska Marketing Ventures (awaiting counterparty comments to response)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Old Masters to ISDA Upgrades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Dynegy Marketing and Trade (credit review)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Frontier Oil Corporation (counterparty to consult credit)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Glencore Ltd. (draft sent)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Morgan Stanley Capital Group Inc. (counterparty reviewing)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Ocean Energy, Inc. (Sara reviewing)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Master Agreements List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version to be delivered via email on Wednesday, August 15</w:t>
            </w:r>
            <w:r>
              <w:rPr>
                <w:vertAlign w:val="superscript"/>
              </w:rPr>
              <w:t>th</w:t>
            </w:r>
            <w:r>
              <w:rPr/>
              <w:t>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/mnt/main-storage/datasets/enron-docs/doc/Project_list_8_13_01_.doc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/mnt/main-storage/datasets/enron-docs/doc/Project_list_8_13_01_.doc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SUSAN BAILEY’S PROJECT LIST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2001-08-13T19:50:00Z</dcterms:created>
  <dc:creator>jrozycki</dc:creator>
  <dc:description/>
  <dc:language>en-CA</dc:language>
  <cp:lastModifiedBy>sbaile2</cp:lastModifiedBy>
  <cp:lastPrinted>2001-08-10T12:59:00Z</cp:lastPrinted>
  <dcterms:modified xsi:type="dcterms:W3CDTF">2001-08-13T21:02:00Z</dcterms:modified>
  <cp:revision>4</cp:revision>
  <dc:subject/>
  <dc:title>PROJECT</dc:title>
</cp:coreProperties>
</file>