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hanging="4932" w:start="4932" w:end="0"/>
              <w:rPr/>
            </w:pPr>
            <w:r>
              <w:rPr/>
              <w:t>The following are TOP TENs:               MARTA – Do I need risk memo to Haedicke and outside legal opinion?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 BUSINESS UNIT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A. BANKS: MULTIBRANCH MASTERS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Pending Project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Chase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Adams/SS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CIBC</w:t>
            </w:r>
          </w:p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Citibank N.A.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These files require review for possible amendment to multibranch status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UBS AG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DAILY TRADING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DAX 30 Index (Stuart)</w:t>
            </w:r>
          </w:p>
          <w:p>
            <w:pPr>
              <w:pStyle w:val="Normal"/>
              <w:keepLines/>
              <w:rPr/>
            </w:pPr>
            <w:r>
              <w:rPr/>
              <w:t>(b)  CSFB equity basket (Vitrella)</w:t>
            </w:r>
          </w:p>
          <w:p>
            <w:pPr>
              <w:pStyle w:val="Normal"/>
              <w:keepLines/>
              <w:rPr/>
            </w:pPr>
            <w:r>
              <w:rPr/>
              <w:t>(c)  CSFB Europe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C. ELECTRONIC PLATFORMS</w:t>
            </w:r>
          </w:p>
          <w:p>
            <w:pPr>
              <w:pStyle w:val="Normal"/>
              <w:keepLines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Barclays Capital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(b)  Dresdner Bank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rPr/>
            </w:pPr>
            <w:r>
              <w:rPr/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Note:  website review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FUTURES AGREEMENTS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NOTE:  change in law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(a)  Goldman Sachs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(b)  Deutsche Bank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Received comments 6/20-Cadwalader question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Salomon Smith Barney/Citigroup (formerly Pru employees)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(d)  Morgan Stanley &amp; Co.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GIVE-UP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32" w:leader="none"/>
              </w:tabs>
              <w:rPr/>
            </w:pPr>
            <w:r>
              <w:rPr/>
              <w:t>(a)    Royal Bank of Scotland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 xml:space="preserve"> </w:t>
            </w:r>
            <w:r>
              <w:rPr/>
              <w:t>DeutschBank AG (Monument Derivatives Ltd.- executing)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>Carr Futures (Monument Derivatives Ltd. – executing)</w:t>
            </w:r>
          </w:p>
          <w:p>
            <w:pPr>
              <w:pStyle w:val="Normal"/>
              <w:ind w:start="-318" w:end="0"/>
              <w:rPr/>
            </w:pPr>
            <w:r>
              <w:rPr/>
              <w:t xml:space="preserve">     </w:t>
            </w:r>
            <w:r>
              <w:rPr/>
              <w:t>(d)   MSDW (Monument Derivatives Ltd. – executing)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>GSI (Monument Derivatives Ltd. – executing)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(f)  NatWest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F. BROKERAGE ACCOUNTS</w:t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Chase Manhattan Bank Access Agreement (ENA)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Goldman Sachs &amp; Co Int’l  (ENT Inv)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Keefe, Bruyette &amp; Woods (ECT Inv) – on hold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Int’l Strategy &amp; Investment Group (ECT Inv.)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Metzler (ECT Inv.) - GERMANY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Monument Derivatives Ltd &amp; Credit Lyonnais (ECT Inv.)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UBS KeyLinkWeb (ENA)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G. OVERSEAS SECURITIES LENDING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Morgan Stanley Int’l (ECT Inv.)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H. REPO AGREEMENTS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I.  OTHER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Merrill Lynch International/ENA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TEMPLATE APPROVAL FOR RATE/FX REQUESTED BY AA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Armstrong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</w:t>
            </w:r>
          </w:p>
          <w:p>
            <w:pPr>
              <w:pStyle w:val="Normal"/>
              <w:ind w:start="252" w:end="0"/>
              <w:rPr/>
            </w:pPr>
            <w:r>
              <w:rPr/>
              <w:t>A.  Enron Corp.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B.  ECT Investments Inc.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C.  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Work with Enron Corp. to put equity masters in place with: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Bear, Stearns International Limited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CSFB International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First Union National Bank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Morgan Stanley Capital Services Inc.</w:t>
            </w:r>
          </w:p>
          <w:p>
            <w:pPr>
              <w:pStyle w:val="Normal"/>
              <w:rPr/>
            </w:pPr>
            <w:r>
              <w:rPr/>
              <w:t>(b)  Review equity forward, and swap and option confirmations (CSFBI, Bear, Lehman)</w:t>
            </w:r>
          </w:p>
          <w:p>
            <w:pPr>
              <w:pStyle w:val="Normal"/>
              <w:ind w:start="1080" w:end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GSI OTC and listed options (Greene)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  <w:t xml:space="preserve">Paperless Confirms – all first drafts assigned to me completed; awaiting response         </w:t>
            </w:r>
          </w:p>
          <w:p>
            <w:pPr>
              <w:pStyle w:val="BodyTextIndent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Consolidated Energy Company of NY and affiliates – ISDA agreements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Review and Revise financial power templates with Melissa Murphy (market disruption, correction to published prices).  PER AA, ALL TEMPLATES MUST BE APPROVED BY LEGAL PRIOR TO 12/31/01.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Texaco, Inc./EOL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Vanek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Credit Derivatives</w:t>
            </w:r>
          </w:p>
          <w:p>
            <w:pPr>
              <w:pStyle w:val="Normal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Brokerage Ag reements: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GS&amp;Co/Enron Credit, Inc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CSFB/Enron Credit, Inc.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First Union Securities, Inc./Enron Credit, Inc.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Transfer ECI position with Bear Stearns &amp; Co. to ECT Europe Investments Inc.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Repo Agreements – ECL/ECI  (Bear Stearns Companies – questionable 10/1/01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low</w:t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COMMODITY LOGIC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Sempra Energy &amp; Trading – on hold </w:t>
            </w:r>
          </w:p>
          <w:p>
            <w:pPr>
              <w:pStyle w:val="Normal"/>
              <w:rPr/>
            </w:pPr>
            <w:r>
              <w:rPr/>
              <w:t>need to assign 20+ parties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(a)  Enovate ISDA Master negotiations (Penman) . </w:t>
            </w:r>
          </w:p>
          <w:p>
            <w:pPr>
              <w:pStyle w:val="Normal"/>
              <w:rPr/>
            </w:pPr>
            <w:r>
              <w:rPr/>
              <w:t>(b)  City of Glendale legal opinion</w:t>
            </w:r>
          </w:p>
          <w:p>
            <w:pPr>
              <w:pStyle w:val="Normal"/>
              <w:rPr/>
            </w:pPr>
            <w:r>
              <w:rPr/>
              <w:t>(c)    Market Disruption – should be settling for Sept., 2001</w:t>
            </w:r>
          </w:p>
          <w:p>
            <w:pPr>
              <w:pStyle w:val="Normal"/>
              <w:rPr/>
            </w:pPr>
            <w:r>
              <w:rPr/>
              <w:t xml:space="preserve">(d)  Yen CLN transaction with Merrill Lynch </w:t>
            </w:r>
          </w:p>
          <w:p>
            <w:pPr>
              <w:pStyle w:val="Normal"/>
              <w:rPr/>
            </w:pPr>
            <w:r>
              <w:rPr/>
              <w:t>(e)  Utility Service Company issues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Dan Boyle</w:t>
            </w:r>
          </w:p>
          <w:p>
            <w:pPr>
              <w:pStyle w:val="Normal"/>
              <w:rPr/>
            </w:pPr>
            <w:r>
              <w:rPr/>
              <w:t>Waiting to hear from Cinergy Energy</w:t>
            </w:r>
          </w:p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 xml:space="preserve">Services, Inc.       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/mnt/main-storage/datasets/enron-docs/doc/Project_list_080801_version_4-a662c86cfe563123ecd3eb0bd68e05475337ffe34d6cf20d4690439e785d36c1.doc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/mnt/main-storage/datasets/enron-docs/doc/Project_list_080801_version_4-a662c86cfe563123ecd3eb0bd68e05475337ffe34d6cf20d4690439e785d36c1.doc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SARA SHACKLETON PROJECT LIST</w:t>
    </w:r>
  </w:p>
  <w:p>
    <w:pPr>
      <w:pStyle w:val="Header"/>
      <w:jc w:val="center"/>
      <w:rPr/>
    </w:pPr>
    <w:r>
      <w:rPr/>
      <w:t>October 02, 2001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abstractNum w:abstractNumId="5">
    <w:lvl w:ilvl="0">
      <w:start w:val="2"/>
      <w:numFmt w:val="lowerLetter"/>
      <w:lvlText w:val="(%1)"/>
      <w:lvlJc w:val="start"/>
      <w:pPr>
        <w:tabs>
          <w:tab w:val="num" w:pos="720"/>
        </w:tabs>
        <w:ind w:start="750" w:hanging="390"/>
      </w:pPr>
      <w:rPr/>
    </w:lvl>
  </w:abstractNum>
  <w:abstractNum w:abstractNumId="6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412" w:start="2412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2001-10-02T11:10:00Z</dcterms:created>
  <dc:creator>jrozycki</dc:creator>
  <dc:description/>
  <dc:language>en-CA</dc:language>
  <cp:lastModifiedBy>sshackl</cp:lastModifiedBy>
  <cp:lastPrinted>2001-10-02T16:02:00Z</cp:lastPrinted>
  <dcterms:modified xsi:type="dcterms:W3CDTF">2001-10-02T18:36:00Z</dcterms:modified>
  <cp:revision>26</cp:revision>
  <dc:subject/>
  <dc:title>PROJECT</dc:title>
</cp:coreProperties>
</file>