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ISDA negotiations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hanging="4932" w:start="4932" w:end="0"/>
              <w:rPr/>
            </w:pPr>
            <w:r>
              <w:rPr/>
              <w:t>The following are TOP TENs:               MARTA – Need risk memo to Haedicke</w:t>
              <w:br/>
              <w:t>and outside legal opinion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Very 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HICKERSON BUSINESS UNIT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A. BANKS: MULTIBRANCH MASTERS</w:t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Pending Project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start="252" w:end="0"/>
              <w:rPr/>
            </w:pPr>
            <w:r>
              <w:rPr/>
              <w:t>Chase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Adams/SS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start="252" w:end="0"/>
              <w:rPr/>
            </w:pPr>
            <w:r>
              <w:rPr/>
              <w:t>CIBC</w:t>
            </w:r>
          </w:p>
          <w:p>
            <w:pPr>
              <w:pStyle w:val="Normal"/>
              <w:keepNext w:val="true"/>
              <w:keepLines/>
              <w:ind w:start="252" w:end="0"/>
              <w:rPr/>
            </w:pPr>
            <w:r>
              <w:rPr/>
              <w:t>Citibank N.A.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rPr/>
            </w:pPr>
            <w:r>
              <w:rPr/>
              <w:t>These files require review for possible amendment to multibranch status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start="252" w:end="0"/>
              <w:rPr/>
            </w:pPr>
            <w:r>
              <w:rPr/>
              <w:t>UBS AG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start="252" w:end="0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DAILY TRADING ISSUES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keepLines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Normal"/>
              <w:keepLines/>
              <w:rPr/>
            </w:pPr>
            <w:r>
              <w:rPr/>
              <w:t>(a)  DAX 30 Index (Stuart)</w:t>
            </w:r>
          </w:p>
          <w:p>
            <w:pPr>
              <w:pStyle w:val="Normal"/>
              <w:keepLines/>
              <w:rPr/>
            </w:pPr>
            <w:r>
              <w:rPr/>
              <w:t>*(b)  CSFB equity basket (Vitrella)</w:t>
            </w:r>
          </w:p>
          <w:p>
            <w:pPr>
              <w:pStyle w:val="Normal"/>
              <w:keepLines/>
              <w:rPr/>
            </w:pPr>
            <w:r>
              <w:rPr/>
              <w:t>(c)  talk to Anne CSFB Europe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Lines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Lines/>
              <w:rPr/>
            </w:pPr>
            <w:r>
              <w:rPr/>
              <w:t>C. ELECTRONIC PLATFORMS</w:t>
            </w:r>
          </w:p>
          <w:p>
            <w:pPr>
              <w:pStyle w:val="Normal"/>
              <w:keepLines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keepLines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Normal"/>
              <w:keepLines/>
              <w:rPr/>
            </w:pPr>
            <w:r>
              <w:rPr/>
              <w:t>(a)  Barclays Capital</w:t>
            </w:r>
          </w:p>
          <w:p>
            <w:pPr>
              <w:pStyle w:val="Header"/>
              <w:keepLines/>
              <w:tabs>
                <w:tab w:val="clear" w:pos="4320"/>
                <w:tab w:val="clear" w:pos="8640"/>
              </w:tabs>
              <w:rPr/>
            </w:pPr>
            <w:r>
              <w:rPr/>
              <w:t>(b)  Dresdner Bank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Lines/>
              <w:snapToGrid w:val="false"/>
              <w:rPr/>
            </w:pPr>
            <w:r>
              <w:rPr/>
            </w:r>
          </w:p>
          <w:p>
            <w:pPr>
              <w:pStyle w:val="Header"/>
              <w:keepLines/>
              <w:tabs>
                <w:tab w:val="clear" w:pos="4320"/>
                <w:tab w:val="clear" w:pos="8640"/>
              </w:tabs>
              <w:rPr/>
            </w:pPr>
            <w:r>
              <w:rPr/>
              <w:t>Stuart</w:t>
            </w:r>
          </w:p>
          <w:p>
            <w:pPr>
              <w:pStyle w:val="Header"/>
              <w:keepLines/>
              <w:tabs>
                <w:tab w:val="clear" w:pos="4320"/>
                <w:tab w:val="clear" w:pos="8640"/>
              </w:tabs>
              <w:rPr/>
            </w:pPr>
            <w:r>
              <w:rPr/>
              <w:t>Stuart</w:t>
            </w:r>
          </w:p>
          <w:p>
            <w:pPr>
              <w:pStyle w:val="Header"/>
              <w:keepLines/>
              <w:tabs>
                <w:tab w:val="clear" w:pos="4320"/>
                <w:tab w:val="clear" w:pos="8640"/>
              </w:tabs>
              <w:rPr/>
            </w:pPr>
            <w:r>
              <w:rPr/>
              <w:t>Note:  website review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D. FUTURES AGREEMENTS</w:t>
            </w:r>
          </w:p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(change in Law)</w:t>
            </w:r>
          </w:p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NOTE:</w:t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br/>
              <w:t>(a)  Goldman Sachs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br/>
              <w:t>Received comments 6/20-Cadwalader question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(b)  Salomon Smith Barney/Citigroup (formerly Pru employees)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Sent comments 5/02/01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(c)  Morgan Stanley &amp; Co.</w:t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Sent comments 5/02/01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E. GIVE-UP AGREEMENTS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(a)  Royal Bank of Scotland</w:t>
            </w:r>
          </w:p>
          <w:p>
            <w:pPr>
              <w:pStyle w:val="Normal"/>
              <w:rPr/>
            </w:pPr>
            <w:r>
              <w:rPr/>
              <w:t>(b)  DeutschBank AG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(c)  NatWest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Armstrong  (currency)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Armstrong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Armstrong  (currency)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F. BROKERAGE ACCOUNTS</w:t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Goldman Sachs &amp; Co (ECI)</w:t>
              <w:br/>
              <w:t>Keefe, Bruyette &amp; Woods (ECT Inv) – on hold</w:t>
            </w:r>
          </w:p>
          <w:p>
            <w:pPr>
              <w:pStyle w:val="Normal"/>
              <w:rPr/>
            </w:pPr>
            <w:r>
              <w:rPr/>
              <w:t>Metzler (ECT Inv)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G. OVERSEAS SECURITIES LENDING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Morgan Stanley Int’l (ECT Inv.)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H. REPO AGREEMENTS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Merrill Lynch International/ENA.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Armstrong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EQUITY DERIVATIVES</w:t>
            </w:r>
          </w:p>
          <w:p>
            <w:pPr>
              <w:pStyle w:val="Normal"/>
              <w:ind w:start="252" w:end="0"/>
              <w:rPr/>
            </w:pPr>
            <w:r>
              <w:rPr/>
              <w:t>A.  Enron Corp.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start="252" w:end="0"/>
              <w:rPr/>
            </w:pPr>
            <w:r>
              <w:rPr/>
              <w:t>B.  ECT Investments Inc.</w:t>
            </w:r>
          </w:p>
          <w:p>
            <w:pPr>
              <w:pStyle w:val="Normal"/>
              <w:ind w:start="360" w:end="0"/>
              <w:rPr/>
            </w:pPr>
            <w:r>
              <w:rPr/>
            </w:r>
          </w:p>
          <w:p>
            <w:pPr>
              <w:pStyle w:val="Normal"/>
              <w:ind w:start="252" w:end="0"/>
              <w:rPr/>
            </w:pPr>
            <w:r>
              <w:rPr/>
              <w:t>C.  Other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(a)  Work with Enron Corp. to put equity masters in place with:</w:t>
            </w:r>
          </w:p>
          <w:p>
            <w:pPr>
              <w:pStyle w:val="Normal"/>
              <w:numPr>
                <w:ilvl w:val="0"/>
                <w:numId w:val="2"/>
              </w:numPr>
              <w:ind w:hanging="389" w:start="749" w:end="0"/>
              <w:rPr/>
            </w:pPr>
            <w:r>
              <w:rPr/>
              <w:t>Bear, Stearns International Limited</w:t>
            </w:r>
          </w:p>
          <w:p>
            <w:pPr>
              <w:pStyle w:val="Normal"/>
              <w:numPr>
                <w:ilvl w:val="0"/>
                <w:numId w:val="2"/>
              </w:numPr>
              <w:ind w:hanging="389" w:start="749" w:end="0"/>
              <w:rPr/>
            </w:pPr>
            <w:r>
              <w:rPr/>
              <w:t>CSFB International</w:t>
            </w:r>
          </w:p>
          <w:p>
            <w:pPr>
              <w:pStyle w:val="Normal"/>
              <w:numPr>
                <w:ilvl w:val="0"/>
                <w:numId w:val="2"/>
              </w:numPr>
              <w:ind w:hanging="389" w:start="749" w:end="0"/>
              <w:rPr/>
            </w:pPr>
            <w:r>
              <w:rPr/>
              <w:t>First Union National Bank</w:t>
            </w:r>
          </w:p>
          <w:p>
            <w:pPr>
              <w:pStyle w:val="Normal"/>
              <w:numPr>
                <w:ilvl w:val="0"/>
                <w:numId w:val="2"/>
              </w:numPr>
              <w:ind w:hanging="389" w:start="749" w:end="0"/>
              <w:rPr/>
            </w:pPr>
            <w:r>
              <w:rPr/>
              <w:t>Morgan Stanley Capital Services Inc.</w:t>
            </w:r>
          </w:p>
          <w:p>
            <w:pPr>
              <w:pStyle w:val="Normal"/>
              <w:rPr/>
            </w:pPr>
            <w:r>
              <w:rPr/>
              <w:t>(b)  Review equity forward, and swap and option confirmations (CSFBI, Bear, Lehman)</w:t>
            </w:r>
          </w:p>
          <w:p>
            <w:pPr>
              <w:pStyle w:val="Normal"/>
              <w:ind w:start="1080" w:end="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GSI OTC and listed options (Greene)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rPr/>
            </w:pPr>
            <w:r>
              <w:rPr/>
              <w:t>Paperless Confirms         (a) Constellation Power Source, Inc.</w:t>
              <w:br/>
              <w:t>(b) Texaco, Inc.</w:t>
              <w:br/>
              <w:t>(c) Cargill, Incorporated and affiliate</w:t>
            </w:r>
          </w:p>
          <w:p>
            <w:pPr>
              <w:pStyle w:val="BodyTextIndent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FINANCIAL POWER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Consolidated Energy Company of NY and affiliates – ISDA agreements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Sempra Energy – ConfirmLogic agreement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Revise financial power templates with Melissa Murphy (market disruption, correction to published prices)</w:t>
            </w:r>
          </w:p>
          <w:p>
            <w:pPr>
              <w:pStyle w:val="Normal"/>
              <w:ind w:start="360" w:end="0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Very 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  <w:t>Texaco, Inc./EOL issues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D. Vanek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  <w:t>Credit Derivatives</w:t>
            </w:r>
          </w:p>
          <w:p>
            <w:pPr>
              <w:pStyle w:val="Normal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Prime Brokerage Ag – ECL  (Bear Stearns Companies)</w:t>
            </w:r>
          </w:p>
          <w:p>
            <w:pPr>
              <w:pStyle w:val="Normal"/>
              <w:rPr/>
            </w:pPr>
            <w:r>
              <w:rPr/>
              <w:t>(a)  GS&amp;Co/Enron Credit, Inc.</w:t>
            </w:r>
          </w:p>
          <w:p>
            <w:pPr>
              <w:pStyle w:val="Normal"/>
              <w:rPr/>
            </w:pPr>
            <w:r>
              <w:rPr/>
              <w:t>(b)  GS&amp;Co/Enron Credit Ltd.</w:t>
            </w:r>
          </w:p>
          <w:p>
            <w:pPr>
              <w:pStyle w:val="Normal"/>
              <w:rPr/>
            </w:pPr>
            <w:r>
              <w:rPr/>
              <w:t>Repo Agreements – ECL/ECI  (Bear Stearns Companies)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Very low</w:t>
            </w:r>
          </w:p>
          <w:p>
            <w:pPr>
              <w:pStyle w:val="Normal"/>
              <w:rPr/>
            </w:pPr>
            <w:r>
              <w:rPr/>
              <w:t>Derek Lee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  <w:t>COMMODITY LOGIC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Sempra Energy &amp; Trading – need to assign 20+ parties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OTHER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(a)  Enovate ISDA Master negotiations (Penman) </w:t>
            </w:r>
          </w:p>
          <w:p>
            <w:pPr>
              <w:pStyle w:val="Normal"/>
              <w:rPr/>
            </w:pPr>
            <w:r>
              <w:rPr/>
              <w:t xml:space="preserve">(b)  London Prepay (Raj Jamadagni). </w:t>
            </w:r>
          </w:p>
          <w:p>
            <w:pPr>
              <w:pStyle w:val="Normal"/>
              <w:rPr/>
            </w:pPr>
            <w:r>
              <w:rPr/>
              <w:t>(c)  City of Glendale legal opinion</w:t>
            </w:r>
          </w:p>
          <w:p>
            <w:pPr>
              <w:pStyle w:val="Normal"/>
              <w:rPr/>
            </w:pPr>
            <w:r>
              <w:rPr/>
              <w:t>(d)  Market Disruption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Closes 9/19/01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/mnt/main-storage/datasets/enron-docs/doc/Project_list_080801_version_3.doc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/mnt/main-storage/datasets/enron-docs/doc/Project_list_080801_version_3.doc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>
        <w:b/>
        <w:bCs/>
      </w:rPr>
    </w:pPr>
    <w:r>
      <w:rPr>
        <w:b/>
        <w:bCs/>
      </w:rPr>
      <w:t>SARA SHACKLETON PROJECT LIST</w:t>
    </w:r>
  </w:p>
  <w:p>
    <w:pPr>
      <w:pStyle w:val="Header"/>
      <w:jc w:val="center"/>
      <w:rPr/>
    </w:pPr>
    <w:r>
      <w:rPr/>
      <w:t>September 18, 2001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750"/>
        </w:tabs>
        <w:ind w:start="750" w:hanging="390"/>
      </w:pPr>
      <w:rPr/>
    </w:lvl>
  </w:abstractNum>
  <w:abstractNum w:abstractNumId="3">
    <w:lvl w:ilvl="0">
      <w:start w:val="1"/>
      <w:numFmt w:val="lowerLetter"/>
      <w:lvlText w:val="(%1)"/>
      <w:lvlJc w:val="start"/>
      <w:pPr>
        <w:tabs>
          <w:tab w:val="num" w:pos="735"/>
        </w:tabs>
        <w:ind w:start="735" w:hanging="375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2412" w:start="2412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2001-09-18T17:22:00Z</dcterms:created>
  <dc:creator>jrozycki</dc:creator>
  <dc:description/>
  <dc:language>en-CA</dc:language>
  <cp:lastModifiedBy>jrozycki</cp:lastModifiedBy>
  <cp:lastPrinted>2001-09-18T15:51:00Z</cp:lastPrinted>
  <dcterms:modified xsi:type="dcterms:W3CDTF">2001-09-18T18:21:00Z</dcterms:modified>
  <cp:revision>4</cp:revision>
  <dc:subject/>
  <dc:title>PROJECT</dc:title>
</cp:coreProperties>
</file>