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75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4680"/>
        <w:gridCol w:w="8280"/>
        <w:gridCol w:w="3960"/>
      </w:tblGrid>
      <w:tr>
        <w:trPr>
          <w:tblHeader w:val="true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PROJECT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 / COMMENTS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PRIORITY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ISDA negotiations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The following are TOP TENs:               none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HICKERSON BUSINESS UNIT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rPr/>
            </w:pPr>
            <w:r>
              <w:rPr/>
              <w:t>A. BANKS: MULTIBRANCH MASTERS</w:t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rPr/>
            </w:pPr>
            <w:r>
              <w:rPr/>
              <w:t>Pending Project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start="252" w:end="0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start="252" w:end="0"/>
              <w:rPr/>
            </w:pPr>
            <w:r>
              <w:rPr/>
              <w:t>Chase</w:t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rPr/>
            </w:pPr>
            <w:r>
              <w:rPr/>
              <w:t>Adams/SS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start="252" w:end="0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start="252" w:end="0"/>
              <w:rPr/>
            </w:pPr>
            <w:r>
              <w:rPr/>
              <w:t>CIBC</w:t>
            </w:r>
          </w:p>
          <w:p>
            <w:pPr>
              <w:pStyle w:val="Normal"/>
              <w:keepNext w:val="true"/>
              <w:keepLines/>
              <w:ind w:start="252" w:end="0"/>
              <w:rPr/>
            </w:pPr>
            <w:r>
              <w:rPr/>
              <w:t>Citibank N.A.</w:t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rPr/>
            </w:pPr>
            <w:r>
              <w:rPr/>
              <w:t>These files require review for possible amendment to multibranch status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start="252" w:end="0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start="252" w:end="0"/>
              <w:rPr/>
            </w:pPr>
            <w:r>
              <w:rPr/>
              <w:t>UBS AG</w:t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start="252" w:end="0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start="252" w:end="0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DAILY TRADING ISSUES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389" w:start="749" w:end="0"/>
              <w:rPr/>
            </w:pPr>
            <w:r>
              <w:rPr/>
              <w:t>Toronto Dominion automatic exercise issue (Stuart)</w:t>
            </w:r>
          </w:p>
          <w:p>
            <w:pPr>
              <w:pStyle w:val="Normal"/>
              <w:numPr>
                <w:ilvl w:val="0"/>
                <w:numId w:val="3"/>
              </w:numPr>
              <w:ind w:hanging="389" w:start="749" w:end="0"/>
              <w:rPr/>
            </w:pPr>
            <w:r>
              <w:rPr/>
              <w:t>CSFB equity basket (Vitrella)</w:t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Lines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Lines/>
              <w:rPr/>
            </w:pPr>
            <w:r>
              <w:rPr/>
              <w:t>C. ELECTRONIC PLATFORMS</w:t>
            </w:r>
          </w:p>
          <w:p>
            <w:pPr>
              <w:pStyle w:val="Normal"/>
              <w:keepLines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keepLines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Normal"/>
              <w:keepLines/>
              <w:rPr/>
            </w:pPr>
            <w:r>
              <w:rPr/>
              <w:t>(a)  Barclays Capital</w:t>
            </w:r>
          </w:p>
          <w:p>
            <w:pPr>
              <w:pStyle w:val="Header"/>
              <w:keepLines/>
              <w:tabs>
                <w:tab w:val="clear" w:pos="4320"/>
                <w:tab w:val="clear" w:pos="8640"/>
              </w:tabs>
              <w:rPr/>
            </w:pPr>
            <w:r>
              <w:rPr/>
              <w:t>(b)  Dresdner Bank</w:t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Lines/>
              <w:snapToGrid w:val="false"/>
              <w:rPr/>
            </w:pPr>
            <w:r>
              <w:rPr/>
            </w:r>
          </w:p>
          <w:p>
            <w:pPr>
              <w:pStyle w:val="Header"/>
              <w:keepLines/>
              <w:tabs>
                <w:tab w:val="clear" w:pos="4320"/>
                <w:tab w:val="clear" w:pos="8640"/>
              </w:tabs>
              <w:rPr/>
            </w:pPr>
            <w:r>
              <w:rPr/>
              <w:t>Stuart</w:t>
            </w:r>
          </w:p>
          <w:p>
            <w:pPr>
              <w:pStyle w:val="Header"/>
              <w:keepLines/>
              <w:tabs>
                <w:tab w:val="clear" w:pos="4320"/>
                <w:tab w:val="clear" w:pos="8640"/>
              </w:tabs>
              <w:rPr/>
            </w:pPr>
            <w:r>
              <w:rPr/>
              <w:t>Stuart</w:t>
            </w:r>
          </w:p>
          <w:p>
            <w:pPr>
              <w:pStyle w:val="Header"/>
              <w:keepLines/>
              <w:tabs>
                <w:tab w:val="clear" w:pos="4320"/>
                <w:tab w:val="clear" w:pos="8640"/>
              </w:tabs>
              <w:rPr/>
            </w:pPr>
            <w:r>
              <w:rPr/>
              <w:t>Note:  Working with Mark Greenberg and Karen O’Day to gain access to website for legal review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D. FUTURES AGREEMENTS</w:t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br/>
              <w:t>(a)  Goldman Sachs</w:t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br/>
              <w:t>Received comments 6/20-Cadwalader question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(b)  Salomon Smith Barney/Citigroup (formerly Pru employees)</w:t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Sent comments 5/02/01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(c)  Morgan Stanley &amp; Co.</w:t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Sent comments 5/02/01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E. GIVE-UP AGREEMENTS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(a)  Royal Bank of Scotland</w:t>
            </w:r>
          </w:p>
          <w:p>
            <w:pPr>
              <w:pStyle w:val="Normal"/>
              <w:rPr/>
            </w:pPr>
            <w:r>
              <w:rPr/>
              <w:t>(b)  GSI (ADM Investors Int’l Ltd. –executing)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(c)  NatWest)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Armstrong  (currency)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Greene  (equity)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Armstrong  (currency)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F. MONITOR BROKERAGE ACCOUNTS</w:t>
            </w:r>
          </w:p>
        </w:tc>
        <w:tc>
          <w:tcPr>
            <w:tcW w:w="82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Work with Donna Lowry and Shemeika Landry to close out accounts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G. OVERSEAS SECURITIES LENDING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Morgan Stanley Int’l (ECT Inv.)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H. REPO AGREEMENTS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Merrill Lynch International/ENA.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Armstrong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EQUITY DERIVATIVES</w:t>
            </w:r>
          </w:p>
          <w:p>
            <w:pPr>
              <w:pStyle w:val="Normal"/>
              <w:ind w:start="252" w:end="0"/>
              <w:rPr/>
            </w:pPr>
            <w:r>
              <w:rPr/>
              <w:t>A.  Enron Corp.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start="252" w:end="0"/>
              <w:rPr/>
            </w:pPr>
            <w:r>
              <w:rPr/>
              <w:t>B.  ECT Investments Inc.</w:t>
            </w:r>
          </w:p>
          <w:p>
            <w:pPr>
              <w:pStyle w:val="Normal"/>
              <w:ind w:start="360" w:end="0"/>
              <w:rPr/>
            </w:pPr>
            <w:r>
              <w:rPr/>
            </w:r>
          </w:p>
          <w:p>
            <w:pPr>
              <w:pStyle w:val="Normal"/>
              <w:ind w:start="252" w:end="0"/>
              <w:rPr/>
            </w:pPr>
            <w:r>
              <w:rPr/>
              <w:t>C.  Other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(a)  Work with Enron Corp. to put equity masters in place with:</w:t>
            </w:r>
          </w:p>
          <w:p>
            <w:pPr>
              <w:pStyle w:val="Normal"/>
              <w:numPr>
                <w:ilvl w:val="0"/>
                <w:numId w:val="2"/>
              </w:numPr>
              <w:ind w:hanging="389" w:start="749" w:end="0"/>
              <w:rPr/>
            </w:pPr>
            <w:r>
              <w:rPr/>
              <w:t>Bear, Stearns International Limited</w:t>
            </w:r>
          </w:p>
          <w:p>
            <w:pPr>
              <w:pStyle w:val="Normal"/>
              <w:numPr>
                <w:ilvl w:val="0"/>
                <w:numId w:val="2"/>
              </w:numPr>
              <w:ind w:hanging="389" w:start="749" w:end="0"/>
              <w:rPr/>
            </w:pPr>
            <w:r>
              <w:rPr/>
              <w:t>CSFB International</w:t>
            </w:r>
          </w:p>
          <w:p>
            <w:pPr>
              <w:pStyle w:val="Normal"/>
              <w:numPr>
                <w:ilvl w:val="0"/>
                <w:numId w:val="2"/>
              </w:numPr>
              <w:ind w:hanging="389" w:start="749" w:end="0"/>
              <w:rPr/>
            </w:pPr>
            <w:r>
              <w:rPr/>
              <w:t>First Union National Bank</w:t>
            </w:r>
          </w:p>
          <w:p>
            <w:pPr>
              <w:pStyle w:val="Normal"/>
              <w:numPr>
                <w:ilvl w:val="0"/>
                <w:numId w:val="2"/>
              </w:numPr>
              <w:ind w:hanging="389" w:start="749" w:end="0"/>
              <w:rPr/>
            </w:pPr>
            <w:r>
              <w:rPr/>
              <w:t>Morgan Stanley Capital Services Inc.</w:t>
            </w:r>
          </w:p>
          <w:p>
            <w:pPr>
              <w:pStyle w:val="Normal"/>
              <w:rPr/>
            </w:pPr>
            <w:r>
              <w:rPr/>
              <w:t>(b)  Review equity forward, and swap and option confirmations (CSFBI, Bear, Lehman)</w:t>
            </w:r>
          </w:p>
          <w:p>
            <w:pPr>
              <w:pStyle w:val="Normal"/>
              <w:ind w:start="1080" w:end="0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GSI OTC and listed option (Greene)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(a)  Active Power/GSI (Eddy Daniels)</w:t>
            </w:r>
          </w:p>
          <w:p>
            <w:pPr>
              <w:pStyle w:val="Normal"/>
              <w:rPr/>
            </w:pPr>
            <w:r>
              <w:rPr/>
              <w:t>(b)  AES Holdings LP/BSIL (Joe Henry)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Closes 8/15/01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EIM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Available to back-up Sayre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Ongoing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FINANCIAL POWER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Consolidated Energy Company of NY and affiliates – ISDA agreements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Sempra Energy – ConfirmLogic agreement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Revise financial power templates with Melissa Murphy (market disruption, correction to published prices)</w:t>
            </w:r>
          </w:p>
          <w:p>
            <w:pPr>
              <w:pStyle w:val="Normal"/>
              <w:ind w:start="360" w:end="0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Very High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caps/>
              </w:rPr>
            </w:pPr>
            <w:r>
              <w:rPr>
                <w:caps/>
              </w:rPr>
              <w:t>Texaco, Inc./EOL issues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D. Vanek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caps/>
              </w:rPr>
            </w:pPr>
            <w:r>
              <w:rPr>
                <w:caps/>
              </w:rPr>
              <w:t>Credit Derivatives</w:t>
            </w:r>
          </w:p>
          <w:p>
            <w:pPr>
              <w:pStyle w:val="Normal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(a)  GS&amp;Co/Enron Credit, Inc.</w:t>
            </w:r>
          </w:p>
          <w:p>
            <w:pPr>
              <w:pStyle w:val="Normal"/>
              <w:rPr/>
            </w:pPr>
            <w:r>
              <w:rPr/>
              <w:t>(b)  GS&amp;Co/Enron Credit Ltd.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Very low</w:t>
            </w:r>
          </w:p>
          <w:p>
            <w:pPr>
              <w:pStyle w:val="Normal"/>
              <w:rPr/>
            </w:pPr>
            <w:r>
              <w:rPr/>
              <w:t>Derek Lee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OTHER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Enovate ISDA Master negotiations (Penman)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low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20160" w:h="12240"/>
      <w:pgMar w:left="1440" w:right="1440" w:gutter="0" w:header="576" w:top="1008" w:footer="432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/mnt/main-storage/datasets/enron-docs/doc/Project_list_080801_version_2.doc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/mnt/main-storage/datasets/enron-docs/doc/Project_list_080801_version_2.doc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jc w:val="center"/>
      <w:rPr>
        <w:b/>
        <w:bCs/>
      </w:rPr>
    </w:pPr>
    <w:r>
      <w:rPr>
        <w:b/>
        <w:bCs/>
      </w:rPr>
      <w:t>SARA SHACKLETON PROJECT LIST</w:t>
    </w:r>
  </w:p>
  <w:p>
    <w:pPr>
      <w:pStyle w:val="Header"/>
      <w:jc w:val="center"/>
      <w:rPr/>
    </w:pPr>
    <w:r>
      <w:rPr/>
      <w:t>August 8, 2001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750"/>
        </w:tabs>
        <w:ind w:start="750" w:hanging="390"/>
      </w:pPr>
      <w:rPr/>
    </w:lvl>
  </w:abstractNum>
  <w:abstractNum w:abstractNumId="3">
    <w:lvl w:ilvl="0">
      <w:start w:val="1"/>
      <w:numFmt w:val="lowerLetter"/>
      <w:lvlText w:val="(%1)"/>
      <w:lvlJc w:val="start"/>
      <w:pPr>
        <w:tabs>
          <w:tab w:val="num" w:pos="750"/>
        </w:tabs>
        <w:ind w:start="750" w:hanging="390"/>
      </w:pPr>
      <w:rPr/>
    </w:lvl>
  </w:abstractNum>
  <w:abstractNum w:abstractNumId="4">
    <w:lvl w:ilvl="0">
      <w:start w:val="1"/>
      <w:numFmt w:val="lowerLetter"/>
      <w:lvlText w:val="(%1)"/>
      <w:lvlJc w:val="start"/>
      <w:pPr>
        <w:tabs>
          <w:tab w:val="num" w:pos="735"/>
        </w:tabs>
        <w:ind w:start="735" w:hanging="375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53" w:end="153"/>
      <w:outlineLvl w:val="0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348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2001-08-08T17:34:00Z</dcterms:created>
  <dc:creator>jrozycki</dc:creator>
  <dc:description/>
  <dc:language>en-CA</dc:language>
  <cp:lastModifiedBy>jrozycki</cp:lastModifiedBy>
  <cp:lastPrinted>2001-08-09T17:31:00Z</cp:lastPrinted>
  <dcterms:modified xsi:type="dcterms:W3CDTF">2001-08-09T20:02:00Z</dcterms:modified>
  <cp:revision>4</cp:revision>
  <dc:subject/>
  <dc:title>PROJECT</dc:title>
</cp:coreProperties>
</file>