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ind w:hanging="0" w:start="0" w:end="0"/>
        <w:rPr>
          <w:b/>
          <w:bCs/>
          <w:smallCaps/>
        </w:rPr>
      </w:pPr>
      <w:r>
        <w:rPr>
          <w:b/>
          <w:bCs/>
          <w:smallCaps/>
        </w:rPr>
        <w:t>PROJECT X</w:t>
      </w:r>
    </w:p>
    <w:p>
      <w:pPr>
        <w:pStyle w:val="BodyTextIndent"/>
        <w:ind w:hanging="0" w:start="0" w:end="0"/>
        <w:rPr>
          <w:b/>
          <w:bCs/>
          <w:smallCaps/>
        </w:rPr>
      </w:pPr>
      <w:r>
        <w:rPr>
          <w:b/>
          <w:bCs/>
          <w:smallCaps/>
        </w:rPr>
      </w:r>
    </w:p>
    <w:p>
      <w:pPr>
        <w:pStyle w:val="BodyTextIndent"/>
        <w:ind w:hanging="0" w:start="0" w:end="0"/>
        <w:rPr>
          <w:b/>
          <w:bCs/>
          <w:smallCaps/>
        </w:rPr>
      </w:pPr>
      <w:r>
        <w:rPr>
          <w:b/>
          <w:bCs/>
          <w:smallCaps/>
        </w:rPr>
        <w:t>CONCEPT</w:t>
        <w:tab/>
      </w:r>
    </w:p>
    <w:p>
      <w:pPr>
        <w:pStyle w:val="Normal"/>
        <w:rPr/>
      </w:pPr>
      <w:r>
        <w:rPr/>
        <w:t>Risk management and credit enhancement services to an Australian-based trading technology SPV in which Enron would be the controlling equity partner</w:t>
      </w:r>
    </w:p>
    <w:p>
      <w:pPr>
        <w:pStyle w:val="Header"/>
        <w:tabs>
          <w:tab w:val="clear" w:pos="4153"/>
          <w:tab w:val="clear" w:pos="8306"/>
        </w:tabs>
        <w:rPr/>
      </w:pPr>
      <w:r>
        <w:rPr/>
      </w:r>
    </w:p>
    <w:p>
      <w:pPr>
        <w:pStyle w:val="Heading1"/>
        <w:ind w:hanging="0" w:start="0"/>
        <w:rPr/>
      </w:pPr>
      <w:r>
        <w:rPr/>
        <w:t>OVERVIEW</w:t>
      </w:r>
    </w:p>
    <w:p>
      <w:pPr>
        <w:pStyle w:val="Normal"/>
        <w:rPr>
          <w:lang w:val="en-AU"/>
        </w:rPr>
      </w:pPr>
      <w:r>
        <w:rPr>
          <w:lang w:val="en-AU"/>
        </w:rPr>
        <w:t xml:space="preserve">Team X, currently residing within an international bank in Sydney, has developed leading edge systems for automated trading of electronic markets.  Through the application of advanced technology to investigate, execute, and capture trades, Team X has developed an unique technology-based competency and platform for trading on multiple global electronic marketplaces. </w:t>
      </w:r>
    </w:p>
    <w:p>
      <w:pPr>
        <w:pStyle w:val="Normal"/>
        <w:rPr/>
      </w:pPr>
      <w:r>
        <w:rPr/>
        <w:t>Trading is currently in the Eurex DAX, German Equities, LIFE FTSE, French CAC, and Bund contracts using multiple technical algorithms.  A feature of the systems is that the computation frequency and execution finesse requires fully automated straight through methodology from computer order generation to exchange execution.  While Team X has been moderately profitable, the Bank is not focused in this area and may be considering exiting all of its Australian operations.  Enron Australia has been approached on behalf of the creator of Team X and held subsequent discussions leading to the structure proposed below.</w:t>
      </w:r>
    </w:p>
    <w:p>
      <w:pPr>
        <w:pStyle w:val="Normal"/>
        <w:rPr/>
      </w:pPr>
      <w:r>
        <w:rPr/>
      </w:r>
    </w:p>
    <w:p>
      <w:pPr>
        <w:pStyle w:val="Normal"/>
        <w:rPr/>
      </w:pPr>
      <w:r>
        <w:rPr/>
        <w:t>The fundamental opportunity is for Enron to acquire world leading applied trading technology for immediate application to Enron Online as well as existing and emerging electronic exchanges.</w:t>
      </w:r>
    </w:p>
    <w:p>
      <w:pPr>
        <w:pStyle w:val="Heading1"/>
        <w:ind w:hanging="0" w:start="0"/>
        <w:rPr/>
      </w:pPr>
      <w:r>
        <w:rPr/>
      </w:r>
    </w:p>
    <w:p>
      <w:pPr>
        <w:pStyle w:val="Heading1"/>
        <w:ind w:hanging="0" w:start="0"/>
        <w:rPr/>
      </w:pPr>
      <w:r>
        <w:rPr/>
        <w:t>Structure</w:t>
      </w:r>
    </w:p>
    <w:p>
      <w:pPr>
        <w:pStyle w:val="Normal"/>
        <w:rPr/>
      </w:pPr>
      <w:r>
        <w:rPr/>
      </w:r>
    </w:p>
    <w:p>
      <w:pPr>
        <w:pStyle w:val="Normal"/>
        <w:ind w:hanging="2160" w:start="2160" w:end="0"/>
        <w:rPr/>
      </w:pPr>
      <w:r>
        <w:rPr/>
        <w:t>Enron contributes:</w:t>
        <w:tab/>
        <w:t>Real time risk management services including dynamic VAR monitoring</w:t>
      </w:r>
    </w:p>
    <w:p>
      <w:pPr>
        <w:pStyle w:val="Normal"/>
        <w:rPr/>
      </w:pPr>
      <w:r>
        <w:rPr/>
        <w:tab/>
        <w:tab/>
        <w:tab/>
        <w:t xml:space="preserve">Credit enhancement for SPV </w:t>
      </w:r>
    </w:p>
    <w:p>
      <w:pPr>
        <w:pStyle w:val="Normal"/>
        <w:ind w:start="2160" w:end="0"/>
        <w:rPr/>
      </w:pPr>
      <w:r>
        <w:rPr/>
        <w:t>Access to trading platforms / IT to facilitate activity in Enron commodity trading</w:t>
      </w:r>
    </w:p>
    <w:p>
      <w:pPr>
        <w:pStyle w:val="Normal"/>
        <w:rPr/>
      </w:pPr>
      <w:r>
        <w:rPr/>
        <w:t xml:space="preserve">Enron Receives: </w:t>
        <w:tab/>
        <w:t>Controlling equity in SPV</w:t>
      </w:r>
    </w:p>
    <w:p>
      <w:pPr>
        <w:pStyle w:val="Normal"/>
        <w:rPr/>
      </w:pPr>
      <w:r>
        <w:rPr/>
        <w:tab/>
        <w:tab/>
        <w:tab/>
        <w:t>SPV intellectual property</w:t>
      </w:r>
    </w:p>
    <w:p>
      <w:pPr>
        <w:pStyle w:val="Normal"/>
        <w:rPr/>
      </w:pPr>
      <w:r>
        <w:rPr/>
      </w:r>
    </w:p>
    <w:p>
      <w:pPr>
        <w:pStyle w:val="Normal"/>
        <w:rPr/>
      </w:pPr>
      <w:r>
        <w:rPr/>
        <w:t>Team X contributes:</w:t>
        <w:tab/>
        <w:t>Key IT and trading personnel</w:t>
      </w:r>
    </w:p>
    <w:p>
      <w:pPr>
        <w:pStyle w:val="Normal"/>
        <w:ind w:start="2160" w:end="0"/>
        <w:rPr/>
      </w:pPr>
      <w:r>
        <w:rPr/>
        <w:t>Trading and execution within SPV</w:t>
      </w:r>
    </w:p>
    <w:p>
      <w:pPr>
        <w:pStyle w:val="Normal"/>
        <w:ind w:start="2160" w:end="0"/>
        <w:rPr/>
      </w:pPr>
      <w:r>
        <w:rPr/>
        <w:t>Intellectual property for the explicit and exclusive use of Enron and the SPV equity holders</w:t>
      </w:r>
    </w:p>
    <w:p>
      <w:pPr>
        <w:pStyle w:val="Normal"/>
        <w:ind w:start="2160" w:end="0"/>
        <w:rPr/>
      </w:pPr>
      <w:r>
        <w:rPr/>
      </w:r>
    </w:p>
    <w:p>
      <w:pPr>
        <w:pStyle w:val="Normal"/>
        <w:rPr/>
      </w:pPr>
      <w:r>
        <w:rPr/>
        <w:t>Team X receives:</w:t>
        <w:tab/>
        <w:t>Equity in SPV</w:t>
      </w:r>
    </w:p>
    <w:p>
      <w:pPr>
        <w:pStyle w:val="Normal"/>
        <w:rPr/>
      </w:pPr>
      <w:r>
        <w:rPr/>
        <w:tab/>
        <w:tab/>
        <w:tab/>
        <w:t>Access to Enron trading platforms / IT</w:t>
      </w:r>
    </w:p>
    <w:p>
      <w:pPr>
        <w:pStyle w:val="Normal"/>
        <w:rPr/>
      </w:pPr>
      <w:r>
        <w:rPr/>
      </w:r>
    </w:p>
    <w:p>
      <w:pPr>
        <w:pStyle w:val="Normal"/>
        <w:rPr/>
      </w:pPr>
      <w:r>
        <w:rPr/>
        <w:t xml:space="preserve">The SPV would develop trading technology for SPV and for the explicit and exclusive use of Enron.  The trading aspects of the business would be operated conceptually as a hedge fund under Enron risk and credit control.  Limited risk capital would be allocated to SPV for application in the areas of technical development and trading.  SPV trading would be monitored through the development of real-time VAR mechanisms that would be developed for wider application within Enron. In terms of the technology, the SPV would have a finite period of underwritten overheads with explicit deliverables on systems applications for broader Enron use.  </w:t>
      </w:r>
    </w:p>
    <w:p>
      <w:pPr>
        <w:pStyle w:val="Normal"/>
        <w:rPr/>
      </w:pPr>
      <w:r>
        <w:rPr/>
      </w:r>
    </w:p>
    <w:p>
      <w:pPr>
        <w:pStyle w:val="Normal"/>
        <w:rPr/>
      </w:pPr>
      <w:r>
        <w:rPr/>
      </w:r>
    </w:p>
    <w:p>
      <w:pPr>
        <w:pStyle w:val="Normal"/>
        <w:rPr/>
      </w:pPr>
      <w:r>
        <w:rPr/>
        <w:t xml:space="preserve"> </w:t>
      </w:r>
    </w:p>
    <w:p>
      <w:pPr>
        <w:pStyle w:val="Normal"/>
        <w:rPr/>
      </w:pPr>
      <w:r>
        <w:rPr/>
      </w:r>
    </w:p>
    <w:tbl>
      <w:tblPr>
        <w:tblW w:w="9287" w:type="dxa"/>
        <w:jc w:val="start"/>
        <w:tblInd w:w="0" w:type="dxa"/>
        <w:tblLayout w:type="fixed"/>
        <w:tblCellMar>
          <w:top w:w="0" w:type="dxa"/>
          <w:start w:w="108" w:type="dxa"/>
          <w:bottom w:w="0" w:type="dxa"/>
          <w:end w:w="108" w:type="dxa"/>
        </w:tblCellMar>
      </w:tblPr>
      <w:tblGrid>
        <w:gridCol w:w="4643"/>
        <w:gridCol w:w="4644"/>
      </w:tblGrid>
      <w:tr>
        <w:trPr/>
        <w:tc>
          <w:tcPr>
            <w:tcW w:w="4643"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ISSUE</w:t>
            </w:r>
          </w:p>
        </w:tc>
        <w:tc>
          <w:tcPr>
            <w:tcW w:w="464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RESPONSE / MITIGANTS</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rPr/>
            </w:pPr>
            <w:r>
              <w:rPr/>
              <w:t>Enron could develop similar capability in-house</w:t>
            </w:r>
          </w:p>
        </w:tc>
        <w:tc>
          <w:tcPr>
            <w:tcW w:w="4644" w:type="dxa"/>
            <w:tcBorders>
              <w:top w:val="single" w:sz="4" w:space="0" w:color="000000"/>
              <w:start w:val="single" w:sz="4" w:space="0" w:color="000000"/>
              <w:bottom w:val="single" w:sz="4" w:space="0" w:color="000000"/>
              <w:end w:val="single" w:sz="4" w:space="0" w:color="000000"/>
            </w:tcBorders>
          </w:tcPr>
          <w:p>
            <w:pPr>
              <w:pStyle w:val="Normal"/>
              <w:rPr/>
            </w:pPr>
            <w:r>
              <w:rPr/>
              <w:t>SPV provides technology now with immediate application</w:t>
            </w:r>
          </w:p>
          <w:p>
            <w:pPr>
              <w:pStyle w:val="Normal"/>
              <w:rPr/>
            </w:pPr>
            <w:r>
              <w:rPr/>
              <w:t xml:space="preserve">Limited existing internal resources </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rPr/>
            </w:pPr>
            <w:r>
              <w:rPr/>
              <w:t>What’s the incentive to promulgate and develop technology for broader Enron application?</w:t>
            </w:r>
          </w:p>
        </w:tc>
        <w:tc>
          <w:tcPr>
            <w:tcW w:w="4644" w:type="dxa"/>
            <w:tcBorders>
              <w:top w:val="single" w:sz="4" w:space="0" w:color="000000"/>
              <w:start w:val="single" w:sz="4" w:space="0" w:color="000000"/>
              <w:bottom w:val="single" w:sz="4" w:space="0" w:color="000000"/>
              <w:end w:val="single" w:sz="4" w:space="0" w:color="000000"/>
            </w:tcBorders>
          </w:tcPr>
          <w:p>
            <w:pPr>
              <w:pStyle w:val="Normal"/>
              <w:rPr/>
            </w:pPr>
            <w:r>
              <w:rPr/>
              <w:t>Controlling equity position can direct</w:t>
            </w:r>
          </w:p>
          <w:p>
            <w:pPr>
              <w:pStyle w:val="Normal"/>
              <w:rPr/>
            </w:pPr>
            <w:r>
              <w:rPr/>
              <w:t>Specific performance deliverables can be contractually agreed</w:t>
            </w:r>
          </w:p>
          <w:p>
            <w:pPr>
              <w:pStyle w:val="Normal"/>
              <w:rPr/>
            </w:pPr>
            <w:r>
              <w:rPr/>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rPr/>
            </w:pPr>
            <w:r>
              <w:rPr/>
              <w:t>Isn’t this just an avenue for allocating risk trading capital to an outside entity?</w:t>
            </w:r>
          </w:p>
        </w:tc>
        <w:tc>
          <w:tcPr>
            <w:tcW w:w="4644" w:type="dxa"/>
            <w:tcBorders>
              <w:top w:val="single" w:sz="4" w:space="0" w:color="000000"/>
              <w:start w:val="single" w:sz="4" w:space="0" w:color="000000"/>
              <w:bottom w:val="single" w:sz="4" w:space="0" w:color="000000"/>
              <w:end w:val="single" w:sz="4" w:space="0" w:color="000000"/>
            </w:tcBorders>
          </w:tcPr>
          <w:p>
            <w:pPr>
              <w:pStyle w:val="Normal"/>
              <w:rPr/>
            </w:pPr>
            <w:r>
              <w:rPr/>
              <w:t>SPV structure is under Enron direction but resides off balance sheet</w:t>
            </w:r>
          </w:p>
          <w:p>
            <w:pPr>
              <w:pStyle w:val="Normal"/>
              <w:rPr/>
            </w:pPr>
            <w:r>
              <w:rPr/>
              <w:t>Structure provides incentives to technology/trading team without the attendant issues of wind-up should goals not be met</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rPr/>
            </w:pPr>
            <w:r>
              <w:rPr/>
              <w:t>What controls will operate?</w:t>
            </w:r>
          </w:p>
        </w:tc>
        <w:tc>
          <w:tcPr>
            <w:tcW w:w="4644" w:type="dxa"/>
            <w:tcBorders>
              <w:top w:val="single" w:sz="4" w:space="0" w:color="000000"/>
              <w:start w:val="single" w:sz="4" w:space="0" w:color="000000"/>
              <w:bottom w:val="single" w:sz="4" w:space="0" w:color="000000"/>
              <w:end w:val="single" w:sz="4" w:space="0" w:color="000000"/>
            </w:tcBorders>
          </w:tcPr>
          <w:p>
            <w:pPr>
              <w:pStyle w:val="Normal"/>
              <w:rPr/>
            </w:pPr>
            <w:r>
              <w:rPr/>
              <w:t>Enron risk management services; real-time VAR</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rPr/>
            </w:pPr>
            <w:r>
              <w:rPr/>
              <w:t>How will traded markets be determined?</w:t>
            </w:r>
          </w:p>
        </w:tc>
        <w:tc>
          <w:tcPr>
            <w:tcW w:w="4644" w:type="dxa"/>
            <w:tcBorders>
              <w:top w:val="single" w:sz="4" w:space="0" w:color="000000"/>
              <w:start w:val="single" w:sz="4" w:space="0" w:color="000000"/>
              <w:bottom w:val="single" w:sz="4" w:space="0" w:color="000000"/>
              <w:end w:val="single" w:sz="4" w:space="0" w:color="000000"/>
            </w:tcBorders>
          </w:tcPr>
          <w:p>
            <w:pPr>
              <w:pStyle w:val="Normal"/>
              <w:rPr/>
            </w:pPr>
            <w:r>
              <w:rPr/>
              <w:t>All accessible electronic marketplaces are targets</w:t>
            </w:r>
          </w:p>
          <w:p>
            <w:pPr>
              <w:pStyle w:val="Normal"/>
              <w:rPr/>
            </w:pPr>
            <w:r>
              <w:rPr/>
              <w:t>Market must have sufficient liquidity and depth</w:t>
            </w:r>
          </w:p>
        </w:tc>
      </w:tr>
      <w:tr>
        <w:trPr/>
        <w:tc>
          <w:tcPr>
            <w:tcW w:w="4643" w:type="dxa"/>
            <w:tcBorders>
              <w:top w:val="single" w:sz="4" w:space="0" w:color="000000"/>
              <w:start w:val="single" w:sz="4" w:space="0" w:color="000000"/>
              <w:bottom w:val="single" w:sz="4" w:space="0" w:color="000000"/>
              <w:end w:val="single" w:sz="4" w:space="0" w:color="000000"/>
            </w:tcBorders>
          </w:tcPr>
          <w:p>
            <w:pPr>
              <w:pStyle w:val="Header"/>
              <w:tabs>
                <w:tab w:val="clear" w:pos="4153"/>
                <w:tab w:val="clear" w:pos="8306"/>
              </w:tabs>
              <w:overflowPunct w:val="true"/>
              <w:autoSpaceDE w:val="true"/>
              <w:textAlignment w:val="auto"/>
              <w:rPr>
                <w:szCs w:val="24"/>
                <w:lang w:val="en-US"/>
              </w:rPr>
            </w:pPr>
            <w:r>
              <w:rPr>
                <w:szCs w:val="24"/>
                <w:lang w:val="en-US"/>
              </w:rPr>
              <w:t>How scalable is the system?</w:t>
            </w:r>
          </w:p>
        </w:tc>
        <w:tc>
          <w:tcPr>
            <w:tcW w:w="4644" w:type="dxa"/>
            <w:tcBorders>
              <w:top w:val="single" w:sz="4" w:space="0" w:color="000000"/>
              <w:start w:val="single" w:sz="4" w:space="0" w:color="000000"/>
              <w:bottom w:val="single" w:sz="4" w:space="0" w:color="000000"/>
              <w:end w:val="single" w:sz="4" w:space="0" w:color="000000"/>
            </w:tcBorders>
          </w:tcPr>
          <w:p>
            <w:pPr>
              <w:pStyle w:val="Normal"/>
              <w:rPr/>
            </w:pPr>
            <w:r>
              <w:rPr/>
              <w:t>Exponential capability</w:t>
            </w:r>
          </w:p>
          <w:p>
            <w:pPr>
              <w:pStyle w:val="Normal"/>
              <w:rPr/>
            </w:pPr>
            <w:r>
              <w:rPr/>
              <w:t>Over 50 markets within 3 years</w:t>
            </w:r>
          </w:p>
        </w:tc>
      </w:tr>
      <w:tr>
        <w:trPr/>
        <w:tc>
          <w:tcPr>
            <w:tcW w:w="4643" w:type="dxa"/>
            <w:tcBorders>
              <w:top w:val="single" w:sz="4" w:space="0" w:color="000000"/>
              <w:start w:val="single" w:sz="4" w:space="0" w:color="000000"/>
              <w:bottom w:val="single" w:sz="4" w:space="0" w:color="000000"/>
              <w:end w:val="single" w:sz="4" w:space="0" w:color="000000"/>
            </w:tcBorders>
          </w:tcPr>
          <w:p>
            <w:pPr>
              <w:pStyle w:val="Normal"/>
              <w:rPr/>
            </w:pPr>
            <w:r>
              <w:rPr/>
              <w:t>What if the returns are not forthcoming?</w:t>
            </w:r>
          </w:p>
        </w:tc>
        <w:tc>
          <w:tcPr>
            <w:tcW w:w="4644" w:type="dxa"/>
            <w:tcBorders>
              <w:top w:val="single" w:sz="4" w:space="0" w:color="000000"/>
              <w:start w:val="single" w:sz="4" w:space="0" w:color="000000"/>
              <w:bottom w:val="single" w:sz="4" w:space="0" w:color="000000"/>
              <w:end w:val="single" w:sz="4" w:space="0" w:color="000000"/>
            </w:tcBorders>
          </w:tcPr>
          <w:p>
            <w:pPr>
              <w:pStyle w:val="Normal"/>
              <w:rPr/>
            </w:pPr>
            <w:r>
              <w:rPr/>
              <w:t>Explicit benchmarks established upfront</w:t>
            </w:r>
          </w:p>
          <w:p>
            <w:pPr>
              <w:pStyle w:val="Normal"/>
              <w:rPr/>
            </w:pPr>
            <w:r>
              <w:rPr/>
              <w:t>Enron support withdrawn if SPV does not perform</w:t>
            </w:r>
          </w:p>
        </w:tc>
      </w:tr>
    </w:tbl>
    <w:p>
      <w:pPr>
        <w:pStyle w:val="Normal"/>
        <w:rPr/>
      </w:pPr>
      <w:r>
        <w:rPr/>
      </w:r>
    </w:p>
    <w:p>
      <w:pPr>
        <w:pStyle w:val="Heading1"/>
        <w:ind w:hanging="0" w:start="0"/>
        <w:rPr/>
      </w:pPr>
      <w:r>
        <w:rPr/>
      </w:r>
    </w:p>
    <w:p>
      <w:pPr>
        <w:pStyle w:val="Heading1"/>
        <w:ind w:hanging="0" w:start="0"/>
        <w:rPr/>
      </w:pPr>
      <w:r>
        <w:rPr/>
        <w:t>Lead Time</w:t>
      </w:r>
    </w:p>
    <w:p>
      <w:pPr>
        <w:pStyle w:val="Normal"/>
        <w:rPr/>
      </w:pPr>
      <w:r>
        <w:rPr/>
      </w:r>
    </w:p>
    <w:p>
      <w:pPr>
        <w:pStyle w:val="Normal"/>
        <w:rPr/>
      </w:pPr>
      <w:r>
        <w:rPr/>
        <w:t xml:space="preserve">Depending upon the take-out strategy e.g. direct buy-out of the Bank’s operation, as little as 3 months to be fully functional with electronic trading activities. </w:t>
      </w:r>
    </w:p>
    <w:p>
      <w:pPr>
        <w:pStyle w:val="Normal"/>
        <w:rPr/>
      </w:pPr>
      <w:r>
        <w:rPr/>
      </w:r>
    </w:p>
    <w:p>
      <w:pPr>
        <w:pStyle w:val="Header"/>
        <w:tabs>
          <w:tab w:val="clear" w:pos="4153"/>
          <w:tab w:val="clear" w:pos="8306"/>
        </w:tabs>
        <w:rPr/>
      </w:pPr>
      <w:r>
        <w:rPr/>
      </w:r>
    </w:p>
    <w:p>
      <w:pPr>
        <w:pStyle w:val="Header"/>
        <w:tabs>
          <w:tab w:val="clear" w:pos="4153"/>
          <w:tab w:val="clear" w:pos="8306"/>
        </w:tabs>
        <w:rPr>
          <w:b/>
          <w:bCs/>
          <w:smallCaps/>
        </w:rPr>
      </w:pPr>
      <w:r>
        <w:rPr>
          <w:b/>
          <w:bCs/>
          <w:smallCaps/>
        </w:rPr>
        <w:t xml:space="preserve">SPV Funding </w:t>
      </w:r>
    </w:p>
    <w:p>
      <w:pPr>
        <w:pStyle w:val="Header"/>
        <w:tabs>
          <w:tab w:val="clear" w:pos="4153"/>
          <w:tab w:val="clear" w:pos="8306"/>
        </w:tabs>
        <w:rPr>
          <w:b/>
          <w:bCs/>
          <w:smallCaps/>
        </w:rPr>
      </w:pPr>
      <w:r>
        <w:rPr>
          <w:b/>
          <w:bCs/>
          <w:smallCaps/>
        </w:rPr>
      </w:r>
    </w:p>
    <w:p>
      <w:pPr>
        <w:pStyle w:val="Header"/>
        <w:tabs>
          <w:tab w:val="clear" w:pos="4153"/>
          <w:tab w:val="clear" w:pos="8306"/>
        </w:tabs>
        <w:rPr/>
      </w:pPr>
      <w:r>
        <w:rPr/>
        <w:t xml:space="preserve">All the above actual and contingent costs could be achieved via either a direct capital injection or by Enron providing a commitment to overheads and risk capital requirements. </w:t>
      </w:r>
    </w:p>
    <w:p>
      <w:pPr>
        <w:pStyle w:val="Header"/>
        <w:tabs>
          <w:tab w:val="clear" w:pos="4153"/>
          <w:tab w:val="clear" w:pos="8306"/>
        </w:tabs>
        <w:rPr/>
      </w:pPr>
      <w:r>
        <w:rPr/>
      </w:r>
    </w:p>
    <w:p>
      <w:pPr>
        <w:pStyle w:val="Header"/>
        <w:tabs>
          <w:tab w:val="clear" w:pos="4153"/>
          <w:tab w:val="clear" w:pos="8306"/>
        </w:tabs>
        <w:rPr/>
      </w:pPr>
      <w:r>
        <w:rPr/>
        <w:t>Access to risk capital funding for trading will be a feature of the credit enhancements to be provided by Enron.  There remains scope for accessing outside funds under management.</w:t>
      </w:r>
    </w:p>
    <w:p>
      <w:pPr>
        <w:pStyle w:val="Header"/>
        <w:tabs>
          <w:tab w:val="clear" w:pos="4153"/>
          <w:tab w:val="clear" w:pos="8306"/>
        </w:tabs>
        <w:rPr/>
      </w:pPr>
      <w:r>
        <w:rPr/>
      </w:r>
    </w:p>
    <w:p>
      <w:pPr>
        <w:pStyle w:val="Header"/>
        <w:tabs>
          <w:tab w:val="clear" w:pos="4153"/>
          <w:tab w:val="clear" w:pos="8306"/>
        </w:tabs>
        <w:rPr>
          <w:b/>
          <w:bCs/>
          <w:smallCaps/>
        </w:rPr>
      </w:pPr>
      <w:r>
        <w:rPr>
          <w:b/>
          <w:bCs/>
          <w:smallCaps/>
        </w:rPr>
        <w:t>Summary</w:t>
      </w:r>
    </w:p>
    <w:p>
      <w:pPr>
        <w:pStyle w:val="Header"/>
        <w:tabs>
          <w:tab w:val="clear" w:pos="4153"/>
          <w:tab w:val="clear" w:pos="8306"/>
        </w:tabs>
        <w:rPr>
          <w:b/>
          <w:bCs/>
          <w:smallCaps/>
        </w:rPr>
      </w:pPr>
      <w:r>
        <w:rPr>
          <w:b/>
          <w:bCs/>
          <w:smallCaps/>
        </w:rPr>
      </w:r>
    </w:p>
    <w:p>
      <w:pPr>
        <w:pStyle w:val="Normal"/>
        <w:rPr/>
      </w:pPr>
      <w:r>
        <w:rPr/>
        <w:t xml:space="preserve">While located in Australia, SPV would have direct and immediate application to Enron’s global on-line trading activities. In addition, the SPV would provide, at a relatively low investment, the potential for high levels of financial return and technology development.  </w:t>
      </w:r>
    </w:p>
    <w:p>
      <w:pPr>
        <w:pStyle w:val="Normal"/>
        <w:rPr/>
      </w:pPr>
      <w:r>
        <w:rPr/>
      </w:r>
    </w:p>
    <w:p>
      <w:pPr>
        <w:pStyle w:val="Normal"/>
        <w:rPr/>
      </w:pPr>
      <w:r>
        <w:rPr/>
        <w:t>In the event that appropriate value in technology, trading performance, or effective market innovation was not forthcoming, SPV fades away without the normal attendant complications of redundancy within a bigger corporation.</w:t>
      </w:r>
    </w:p>
    <w:sectPr>
      <w:headerReference w:type="default" r:id="rId2"/>
      <w:headerReference w:type="first" r:id="rId3"/>
      <w:footerReference w:type="default" r:id="rId4"/>
      <w:footerReference w:type="first" r:id="rId5"/>
      <w:type w:val="nextPage"/>
      <w:pgSz w:w="11906" w:h="16838"/>
      <w:pgMar w:left="1418" w:right="1418" w:gutter="0" w:header="1247" w:top="1474" w:footer="227" w:bottom="567"/>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jc w:val="center"/>
      <w:rPr/>
    </w:pPr>
    <w:r>
      <w:rPr>
        <w:sz w:val="20"/>
      </w:rPr>
      <w:t xml:space="preserve">Page -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val="en-US"/>
      </w:rPr>
    </w:pPr>
    <w:r>
      <w:rPr>
        <w:sz w:val="16"/>
        <w:lang w:val="en-US"/>
      </w:rPr>
      <w:fldChar w:fldCharType="begin"/>
    </w:r>
    <w:r>
      <w:rPr>
        <w:sz w:val="16"/>
        <w:lang w:val="en-US"/>
      </w:rPr>
      <w:instrText xml:space="preserve"> FILENAME \p </w:instrText>
    </w:r>
    <w:r>
      <w:rPr>
        <w:sz w:val="16"/>
        <w:lang w:val="en-US"/>
      </w:rPr>
      <w:fldChar w:fldCharType="separate"/>
    </w:r>
    <w:r>
      <w:rPr>
        <w:sz w:val="16"/>
        <w:lang w:val="en-US"/>
      </w:rPr>
      <w:t>/mnt/main-storage/datasets/enron-docs/doc/Project_X_2_Nov_00.doc</w:t>
    </w:r>
    <w:r>
      <w:rPr>
        <w:sz w:val="16"/>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i/>
        <w:i/>
        <w:iCs/>
        <w:sz w:val="18"/>
      </w:rPr>
    </w:pPr>
    <w:r>
      <w:rPr>
        <w:b/>
        <w:bCs/>
        <w:i/>
        <w:iCs/>
        <w:sz w:val="18"/>
      </w:rPr>
      <w:t>Enron Australia</w:t>
    </w:r>
  </w:p>
  <w:p>
    <w:pPr>
      <w:pStyle w:val="Header"/>
      <w:rPr>
        <w:b/>
        <w:bCs/>
        <w:i/>
        <w:i/>
        <w:iCs/>
        <w:sz w:val="18"/>
      </w:rPr>
    </w:pPr>
    <w:r>
      <w:rPr>
        <w:b/>
        <w:bCs/>
        <w:i/>
        <w:iCs/>
        <w:sz w:val="18"/>
      </w:rPr>
      <w:t>Discussion Paper</w:t>
    </w:r>
  </w:p>
  <w:p>
    <w:pPr>
      <w:pStyle w:val="Header"/>
      <w:rPr>
        <w:b/>
        <w:bCs/>
        <w:i/>
        <w:i/>
        <w:iCs/>
        <w:sz w:val="18"/>
      </w:rPr>
    </w:pPr>
    <w:r>
      <w:rPr>
        <w:b/>
        <w:bCs/>
        <w:i/>
        <w:iCs/>
        <w:sz w:val="18"/>
      </w:rPr>
      <w:t>September 2000</w:t>
    </w:r>
  </w:p>
  <w:p>
    <w:pPr>
      <w:pStyle w:val="Header"/>
      <w:rPr>
        <w:b/>
        <w:bCs/>
        <w:i/>
        <w:i/>
        <w:iCs/>
        <w:sz w:val="18"/>
      </w:rPr>
    </w:pPr>
    <w:r>
      <w:rPr>
        <w:b/>
        <w:bCs/>
        <w:i/>
        <w:iCs/>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verflowPunct w:val="false"/>
      <w:autoSpaceDE w:val="false"/>
      <w:textAlignment w:val="baseline"/>
      <w:outlineLvl w:val="0"/>
    </w:pPr>
    <w:rPr>
      <w:b/>
      <w:bCs/>
      <w:smallCaps/>
      <w:szCs w:val="20"/>
      <w:lang w:val="en-AU"/>
    </w:rPr>
  </w:style>
  <w:style w:type="paragraph" w:styleId="Heading2">
    <w:name w:val="heading 2"/>
    <w:basedOn w:val="Normal"/>
    <w:next w:val="Normal"/>
    <w:qFormat/>
    <w:pPr>
      <w:keepNext w:val="true"/>
      <w:numPr>
        <w:ilvl w:val="1"/>
        <w:numId w:val="1"/>
      </w:numPr>
      <w:overflowPunct w:val="false"/>
      <w:autoSpaceDE w:val="false"/>
      <w:textAlignment w:val="baseline"/>
      <w:outlineLvl w:val="1"/>
    </w:pPr>
    <w:rPr>
      <w:b/>
      <w:bCs/>
      <w:i/>
      <w:iCs/>
      <w:szCs w:val="20"/>
      <w:lang w:val="en-AU"/>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overflowPunct w:val="false"/>
      <w:autoSpaceDE w:val="false"/>
      <w:textAlignment w:val="baseline"/>
    </w:pPr>
    <w:rPr>
      <w:szCs w:val="20"/>
      <w:lang w:val="en-AU"/>
    </w:rPr>
  </w:style>
  <w:style w:type="paragraph" w:styleId="Footer">
    <w:name w:val="footer"/>
    <w:basedOn w:val="Normal"/>
    <w:pPr>
      <w:tabs>
        <w:tab w:val="clear" w:pos="720"/>
        <w:tab w:val="center" w:pos="4153" w:leader="none"/>
        <w:tab w:val="right" w:pos="8306" w:leader="none"/>
      </w:tabs>
      <w:overflowPunct w:val="false"/>
      <w:autoSpaceDE w:val="false"/>
      <w:textAlignment w:val="baseline"/>
    </w:pPr>
    <w:rPr>
      <w:szCs w:val="20"/>
      <w:lang w:val="en-AU"/>
    </w:rPr>
  </w:style>
  <w:style w:type="paragraph" w:styleId="BodyTextIndent">
    <w:name w:val="Body Text Indent"/>
    <w:basedOn w:val="Normal"/>
    <w:pPr>
      <w:overflowPunct w:val="false"/>
      <w:autoSpaceDE w:val="false"/>
      <w:ind w:hanging="2000" w:start="2000" w:end="0"/>
      <w:textAlignment w:val="baseline"/>
    </w:pPr>
    <w:rPr>
      <w:szCs w:val="20"/>
      <w:lang w:val="en-AU"/>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153"/>
        <w:tab w:val="clear" w:pos="8306"/>
        <w:tab w:val="center" w:pos="4535" w:leader="none"/>
        <w:tab w:val="right" w:pos="907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2000-11-01T20:42:00Z</dcterms:created>
  <dc:creator>pquilke</dc:creator>
  <dc:description/>
  <dc:language>en-CA</dc:language>
  <cp:lastModifiedBy>pquilke</cp:lastModifiedBy>
  <dcterms:modified xsi:type="dcterms:W3CDTF">2000-11-01T20:42:00Z</dcterms:modified>
  <cp:revision>2</cp:revision>
  <dc:subject/>
  <dc:title>OVERVIEW</dc:title>
</cp:coreProperties>
</file>