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b/>
          <w:sz w:val="34"/>
          <w:u w:val="single"/>
        </w:rPr>
      </w:pPr>
      <w:r>
        <w:rPr>
          <w:rFonts w:cs="Arial" w:ascii="Arial" w:hAnsi="Arial"/>
          <w:b/>
          <w:sz w:val="34"/>
          <w:u w:val="single"/>
        </w:rPr>
        <w:t>Product Description</w:t>
      </w:r>
    </w:p>
    <w:p>
      <w:pPr>
        <w:pStyle w:val="Subtitle"/>
        <w:rPr>
          <w:rFonts w:ascii="Arial" w:hAnsi="Arial" w:cs="Arial"/>
          <w:b/>
        </w:rPr>
      </w:pPr>
      <w:r>
        <w:rPr>
          <w:rFonts w:cs="Arial" w:ascii="Arial" w:hAnsi="Arial"/>
          <w:b/>
        </w:rPr>
        <w:t>Call Spread/Derivative Commitments</w:t>
      </w:r>
    </w:p>
    <w:p>
      <w:pPr>
        <w:pStyle w:val="Normal"/>
        <w:rPr>
          <w:rFonts w:ascii="Arial" w:hAnsi="Arial" w:cs="Arial"/>
          <w:b/>
          <w:sz w:val="17"/>
        </w:rPr>
      </w:pPr>
      <w:r>
        <w:rPr>
          <w:rFonts w:cs="Arial" w:ascii="Arial" w:hAnsi="Arial"/>
          <w:b/>
          <w:sz w:val="17"/>
        </w:rPr>
      </w:r>
    </w:p>
    <w:p>
      <w:pPr>
        <w:pStyle w:val="Normal"/>
        <w:rPr>
          <w:rFonts w:ascii="Arial" w:hAnsi="Arial" w:cs="Arial"/>
          <w:sz w:val="17"/>
        </w:rPr>
      </w:pPr>
      <w:r>
        <w:rPr>
          <w:rFonts w:cs="Arial" w:ascii="Arial" w:hAnsi="Arial"/>
          <w:sz w:val="17"/>
        </w:rPr>
      </w:r>
    </w:p>
    <w:tbl>
      <w:tblPr>
        <w:tblW w:w="1062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7830"/>
      </w:tblGrid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Buyer: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North America (“ENA”)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Seller: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Kaiser Aluminum &amp; Chemical Corporation (“KACC”)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Product: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Call Spread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86" w:hRule="atLeast"/>
        </w:trPr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Strike Prices: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Calls purchased shall be Asian monthly options and have a strike price that is at market at close.  Calls sold shall also be Asian monthly options and have a strike price that is $300 above market at close.  These call spreads shall have quantities of 20,000 tons/month through 12/2000 and 25,000 tons/month through 6/2001.  The strike dates for the aforementioned quantities shall be the last day of each respective month.</w:t>
            </w:r>
          </w:p>
        </w:tc>
      </w:tr>
      <w:tr>
        <w:trPr>
          <w:trHeight w:val="135" w:hRule="atLeast"/>
        </w:trPr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Structure: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ENA shall purchase from KACC a call spread at a to-be-agreed on market price (“Premium”).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Purchase Price: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Call Spread Purchase Price will be negotiated between KACC and ENA.  Customary fees and expenses to be deducted from the purchase price will include the following: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</w:rPr>
              <w:t xml:space="preserve">Transaction Premium:          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$1.20 MM (200 bps)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</w:rPr>
              <w:t xml:space="preserve">Initial Conversion  Premium: </w:t>
            </w:r>
            <w:r>
              <w:rPr>
                <w:rFonts w:cs="Arial" w:ascii="Arial" w:hAnsi="Arial"/>
              </w:rPr>
              <w:t>$2.10 MM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</w:t>
            </w:r>
            <w:r>
              <w:rPr>
                <w:rFonts w:cs="Arial" w:ascii="Arial" w:hAnsi="Arial"/>
              </w:rPr>
              <w:t xml:space="preserve">(550 bps Used /220 bps Unused [40% of Used Cost]                                                                                                                                          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</w:t>
            </w:r>
            <w:r>
              <w:rPr>
                <w:rFonts w:cs="Arial" w:ascii="Arial" w:hAnsi="Arial"/>
              </w:rPr>
              <w:t xml:space="preserve">PV @ Fed Funds Rate + 550 bps [Average of Sr.                                                 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</w:t>
            </w:r>
            <w:r>
              <w:rPr>
                <w:rFonts w:cs="Arial" w:ascii="Arial" w:hAnsi="Arial"/>
              </w:rPr>
              <w:t>Unsecured and Sr. Subordinated Debt upon close])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Mark-to-Market Limit: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Kaiser will have a $60 MM margin line for Aluminum transactions as covered by the Call Spread. 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Term:</w:t>
            </w:r>
          </w:p>
        </w:tc>
        <w:tc>
          <w:tcPr>
            <w:tcW w:w="783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term:  March 1, 2000 to June 30, 2001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KACC and ENA will develop appropriate renewal terms and conditions for the extension of this product for a new one-year term on the first and second anniversaries of the end of the term as stated above.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Power Supply Agreement: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KACC agrees to contract with ENA for ENA’s supply of physical power under terms and conditions stated herein.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Amount &amp; Term: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150 MW firm HE 0100-2400 for April 1, 2000 to June 30, 2001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 MW firm HE 0100-2400 for Oct. 1, 2001 to Sept. 30, 2006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Power Price: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 Price = Base Price + Aluminum Price Delta (as defined herein)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Base Price: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From April 1, 2000 to September 30, 2001: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i w:val="false"/>
                <w:i w:val="false"/>
              </w:rPr>
            </w:pPr>
            <w:r>
              <w:rPr>
                <w:rFonts w:cs="Arial" w:ascii="Arial" w:hAnsi="Arial"/>
                <w:i w:val="false"/>
              </w:rPr>
              <w:t>Base Price = Index plus $0.50/Mwh</w:t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From October 1, 2001 to September 30, 2006: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</w:rPr>
              <w:t>Base Price = Index plus $0.50/Mwh plus actual BPA main grid Transmission Charges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83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Aluminum Price Delta:</w:t>
            </w:r>
          </w:p>
        </w:tc>
        <w:tc>
          <w:tcPr>
            <w:tcW w:w="783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</w:rPr>
              <w:t xml:space="preserve">The Aluminum Price Delta refers to increases/decreases of power costs as a function of changing Aluminum prices under the grid as presented in </w:t>
            </w:r>
            <w:r>
              <w:rPr>
                <w:rFonts w:cs="Arial" w:ascii="Arial" w:hAnsi="Arial"/>
                <w:b/>
                <w:i/>
              </w:rPr>
              <w:t xml:space="preserve">Schedule A </w:t>
            </w:r>
            <w:r>
              <w:rPr>
                <w:rFonts w:cs="Arial" w:ascii="Arial" w:hAnsi="Arial"/>
              </w:rPr>
              <w:t>(Remaining Month Aluminum LME Strip Price [through 6/30/01]-Grid 1 = Power Price Delta –Grid 2).  This delta will only be in effect through 6/30/01 after which time the power price will revert to base price only.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KACC Future Derivative Commitment: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KACC will commit to execute the following financial derivative transactions through ENA.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Natural Gas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KACC will commit to hedge 20 mmbtu/day for a 3-5 year term.  </w:t>
            </w:r>
          </w:p>
          <w:p>
            <w:pPr>
              <w:pStyle w:val="BodyTex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KACC estimates that 90% of these transactions will be in the form of fixed forward prices and 10% in the form of other derivatives.</w:t>
            </w:r>
          </w:p>
          <w:p>
            <w:pPr>
              <w:pStyle w:val="Normal"/>
              <w:ind w:hanging="450" w:start="1170" w:end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Power</w:t>
            </w:r>
          </w:p>
          <w:p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KACC will commit to hedge 75-100 MW of power volumes as stated above on a 2-year rolling basis.</w:t>
            </w:r>
          </w:p>
          <w:p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KACC estimates that the majority of these transactions will be in the form of collars.</w:t>
            </w:r>
          </w:p>
          <w:p>
            <w:pPr>
              <w:pStyle w:val="Normal"/>
              <w:ind w:hanging="450" w:start="1170" w:end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Heading3"/>
              <w:rPr/>
            </w:pPr>
            <w:r>
              <w:rPr/>
              <w:t>Fuel Oil #6</w:t>
            </w:r>
          </w:p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KACC will commit to hedge 1 mmbbl/year for a 2-5 year term.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KACC estimates that 80% of these transactions will be in the form of purchasing calls and the remaining 20% in the form of other derivatives.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Non-Binding: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This document and any future amendments do not create and are not intended to create a binding and enforceable contract between the parties or a duty on the part of either party to negotiate in good faith toward a binding contract.  Furthermore, this document may not be relied upon by either party as the basis for a contract by estoppel or otherwise, but rather evidence a non-binding intention to endeavor, without obligation, to negotiate mutually agreeable Definitive Agreements.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Due Diligence: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This transaction is conditioned upon the results, to ENA’s satisfaction, of a due diligence review that has not yet been conducted.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Events of Default:</w:t>
            </w:r>
          </w:p>
        </w:tc>
        <w:tc>
          <w:tcPr>
            <w:tcW w:w="783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Usual and customary for transactions of this nature with counterparties of a similar credit rating and profile as KACC.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8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Representation, Warranties &amp; Covenants:</w:t>
            </w:r>
          </w:p>
        </w:tc>
        <w:tc>
          <w:tcPr>
            <w:tcW w:w="783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Usual and customary for transactions of this nature with counterparties of a similar credit rating and profile as KACC.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7"/>
      </w:rPr>
    </w:pPr>
    <w:r>
      <w:rPr>
        <w:sz w:val="17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2382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238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sz w:val="17"/>
                            </w:rPr>
                          </w:pPr>
                          <w:r>
                            <w:rPr>
                              <w:rStyle w:val="PageNumber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7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3pt;height:9.75pt;mso-wrap-distance-left:0pt;mso-wrap-distance-right:0pt;mso-wrap-distance-top:0pt;mso-wrap-distance-bottom:0pt;margin-top:0.05pt;mso-position-vertical-relative:text;margin-left:231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sz w:val="17"/>
                      </w:rPr>
                    </w:pPr>
                    <w:r>
                      <w:rPr>
                        <w:rStyle w:val="PageNumber"/>
                        <w:sz w:val="17"/>
                      </w:rPr>
                      <w:fldChar w:fldCharType="begin"/>
                    </w:r>
                    <w:r>
                      <w:rPr>
                        <w:rStyle w:val="PageNumber"/>
                        <w:sz w:val="17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7"/>
                      </w:rPr>
                      <w:fldChar w:fldCharType="separate"/>
                    </w:r>
                    <w:r>
                      <w:rPr>
                        <w:rStyle w:val="PageNumber"/>
                        <w:sz w:val="17"/>
                      </w:rPr>
                      <w:t>2</w:t>
                    </w:r>
                    <w:r>
                      <w:rPr>
                        <w:rStyle w:val="PageNumber"/>
                        <w:sz w:val="17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1"/>
      </w:rPr>
    </w:pPr>
    <w:r>
      <w:rPr>
        <w:i/>
        <w:sz w:val="21"/>
      </w:rPr>
      <w:t>DRAFT                                                                            FOR DISCUSSION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ACTIVE" w:val="Project Wilhelm Term Sheet (2-23-00)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 New" w:hAnsi="Courier New" w:cs="Courier New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000000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540" w:start="540" w:end="0"/>
      <w:outlineLvl w:val="2"/>
    </w:pPr>
    <w:rPr>
      <w:rFonts w:ascii="Arial" w:hAnsi="Arial" w:cs="Arial"/>
      <w:b/>
      <w:i/>
      <w:color w:val="000000"/>
      <w:lang w:eastAsia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8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28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St4z0">
    <w:name w:val="WW8NumSt4z0"/>
    <w:qFormat/>
    <w:rPr>
      <w:rFonts w:ascii="Symbol" w:hAnsi="Symbol" w:cs="Symbol"/>
      <w:sz w:val="28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/>
    <w:rPr>
      <w:rFonts w:ascii="Courier New" w:hAnsi="Courier New" w:cs="Courier New"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540" w:start="540" w:end="0"/>
    </w:pPr>
    <w:rPr>
      <w:rFonts w:ascii="Courier New" w:hAnsi="Courier New" w:cs="Courier New"/>
      <w:color w:val="000000"/>
      <w:lang w:eastAsia="en-US"/>
    </w:rPr>
  </w:style>
  <w:style w:type="paragraph" w:styleId="BodyText2">
    <w:name w:val="Body Text 2"/>
    <w:basedOn w:val="Normal"/>
    <w:qFormat/>
    <w:pPr/>
    <w:rPr>
      <w:rFonts w:ascii="Courier New" w:hAnsi="Courier New" w:cs="Courier New"/>
      <w:i/>
      <w:color w:val="000000"/>
      <w:lang w:eastAsia="en-US"/>
    </w:rPr>
  </w:style>
  <w:style w:type="paragraph" w:styleId="BodyText3">
    <w:name w:val="Body Text 3"/>
    <w:basedOn w:val="Normal"/>
    <w:qFormat/>
    <w:pPr/>
    <w:rPr>
      <w:rFonts w:ascii="Arial" w:hAnsi="Arial" w:cs="Arial"/>
      <w:color w:val="000000"/>
      <w:sz w:val="28"/>
      <w:lang w:eastAsia="en-US"/>
    </w:rPr>
  </w:style>
  <w:style w:type="paragraph" w:styleId="FootnoteText">
    <w:name w:val="foot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2000-02-24T02:05:00Z</dcterms:created>
  <dc:creator>Raul Rizo-Patron</dc:creator>
  <dc:description/>
  <dc:language>en-CA</dc:language>
  <cp:lastModifiedBy>Chris Hilgert</cp:lastModifiedBy>
  <cp:lastPrinted>2000-02-25T09:59:00Z</cp:lastPrinted>
  <dcterms:modified xsi:type="dcterms:W3CDTF">2000-03-03T22:14:00Z</dcterms:modified>
  <cp:revision>13</cp:revision>
  <dc:subject/>
  <dc:title>Summary Term Sheet</dc:title>
</cp:coreProperties>
</file>