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The Files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Mary Cilia</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Department</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Project Timber Memo</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July 10, 2001</w:t>
            </w:r>
          </w:p>
        </w:tc>
      </w:tr>
    </w:tbl>
    <w:p>
      <w:pPr>
        <w:pStyle w:val="Body"/>
        <w:rPr/>
      </w:pPr>
      <w:r>
        <w:rPr/>
      </w:r>
      <w:bookmarkStart w:id="1" w:name="StartOfMemo"/>
      <w:bookmarkStart w:id="2" w:name="StartOfMemo"/>
      <w:bookmarkEnd w:id="2"/>
    </w:p>
    <w:p>
      <w:pPr>
        <w:pStyle w:val="Body"/>
        <w:rPr/>
      </w:pPr>
      <w:r>
        <w:rPr/>
        <w:t>The purpose of this memorandum is to document Enron’s accounting treatment for the Project Timber transaction involving EOTT, Enron Global Markets (EGM) and EGP Fuels.</w:t>
      </w:r>
    </w:p>
    <w:p>
      <w:pPr>
        <w:pStyle w:val="Body"/>
        <w:rPr/>
      </w:pPr>
      <w:r>
        <w:rPr/>
      </w:r>
    </w:p>
    <w:p>
      <w:pPr>
        <w:pStyle w:val="Body"/>
        <w:rPr>
          <w:b/>
          <w:bCs/>
          <w:u w:val="single"/>
        </w:rPr>
      </w:pPr>
      <w:r>
        <w:rPr>
          <w:b/>
          <w:bCs/>
          <w:u w:val="single"/>
        </w:rPr>
        <w:t>Background</w:t>
      </w:r>
    </w:p>
    <w:p>
      <w:pPr>
        <w:pStyle w:val="Body"/>
        <w:ind w:start="0" w:end="0"/>
        <w:rPr>
          <w:b/>
          <w:bCs/>
          <w:u w:val="single"/>
        </w:rPr>
      </w:pPr>
      <w:r>
        <w:rPr>
          <w:b/>
          <w:bCs/>
          <w:u w:val="single"/>
        </w:rPr>
      </w:r>
    </w:p>
    <w:p>
      <w:pPr>
        <w:pStyle w:val="Body"/>
        <w:ind w:start="0" w:end="0"/>
        <w:rPr>
          <w:b/>
          <w:bCs/>
          <w:i/>
          <w:i/>
          <w:iCs/>
        </w:rPr>
      </w:pPr>
      <w:r>
        <w:rPr>
          <w:b/>
          <w:bCs/>
          <w:i/>
          <w:iCs/>
        </w:rPr>
        <w:t>Enron and EOTT Relationship</w:t>
      </w:r>
    </w:p>
    <w:p>
      <w:pPr>
        <w:pStyle w:val="Body"/>
        <w:ind w:start="0" w:end="0"/>
        <w:rPr>
          <w:b/>
          <w:bCs/>
          <w:i/>
          <w:i/>
          <w:iCs/>
        </w:rPr>
      </w:pPr>
      <w:r>
        <w:rPr>
          <w:b/>
          <w:bCs/>
          <w:i/>
          <w:iCs/>
        </w:rPr>
      </w:r>
    </w:p>
    <w:p>
      <w:pPr>
        <w:pStyle w:val="Body"/>
        <w:ind w:start="0" w:end="0"/>
        <w:rPr/>
      </w:pPr>
      <w:r>
        <w:rPr/>
        <w:t>EOTT is a limited partnership in which Enron is the general partner.  Enron is not deemed to control the partnership and accounts for its investment under the equity method of accounting.  Enron owns one general partner unit, 3.3 million of 18.5 outstanding common units, 7 million of 9 million outstanding subordinated units and $9.3 million of additional partnership interests (APIs).  Enron carries the general partnership interest on its books at approximately $7.3 million, the common units at approximately $31.7 million (including $5.4 million of deferred charges) and the subordinated units at $30.9 million for a total investment of approximately $79.2 million.   The partnership’s annual available cash flows are distributed in the following manner:</w:t>
      </w:r>
    </w:p>
    <w:p>
      <w:pPr>
        <w:pStyle w:val="Body"/>
        <w:rPr/>
      </w:pPr>
      <w:r>
        <w:rPr/>
      </w:r>
    </w:p>
    <w:p>
      <w:pPr>
        <w:pStyle w:val="Body"/>
        <w:ind w:hanging="1365" w:start="1437" w:end="0"/>
        <w:rPr/>
      </w:pPr>
      <w:r>
        <w:rPr/>
        <w:t>First -</w:t>
        <w:tab/>
        <w:tab/>
        <w:t>1% to the general partner and $1.90 to each common unit holder (accumulates in arrears and is currently supported by Enron)</w:t>
      </w:r>
    </w:p>
    <w:p>
      <w:pPr>
        <w:pStyle w:val="Body"/>
        <w:rPr/>
      </w:pPr>
      <w:r>
        <w:rPr/>
        <w:t xml:space="preserve">Second - </w:t>
        <w:tab/>
        <w:t>$1.90 to each subordinated unit holder (does not accumulate in arrears)</w:t>
      </w:r>
    </w:p>
    <w:p>
      <w:pPr>
        <w:pStyle w:val="Body"/>
        <w:rPr/>
      </w:pPr>
      <w:r>
        <w:rPr/>
        <w:t>Third -</w:t>
        <w:tab/>
        <w:tab/>
        <w:t>Repayment of any existing APIs (represents Enron’s support of common unit holder dividends)</w:t>
      </w:r>
    </w:p>
    <w:p>
      <w:pPr>
        <w:pStyle w:val="Body"/>
        <w:ind w:hanging="1365" w:start="1437" w:end="0"/>
        <w:rPr/>
      </w:pPr>
      <w:r>
        <w:rPr/>
        <w:t xml:space="preserve">Fourth - </w:t>
        <w:tab/>
        <w:tab/>
        <w:t>Divided in varying manners between the general partner, common unit holders and subordinated unit holders as specified in the partnership agreement</w:t>
      </w:r>
    </w:p>
    <w:p>
      <w:pPr>
        <w:pStyle w:val="Body"/>
        <w:ind w:hanging="1365" w:start="1437" w:end="0"/>
        <w:rPr/>
      </w:pPr>
      <w:r>
        <w:rPr/>
      </w:r>
    </w:p>
    <w:p>
      <w:pPr>
        <w:pStyle w:val="Body"/>
        <w:ind w:start="90" w:end="0"/>
        <w:rPr/>
      </w:pPr>
      <w:r>
        <w:rPr/>
        <w:t>Enron provides a $1 billion credit facility to EOTT which expires on December 31, 2001.  Of the $1 billion, $100 million is available to fund working capital needs and the remaining $900 million is for guarantees and letters of credit.  At December 31, 2000, EOTT had $103.3 million outstanding under the credit facility for letters of credit and $537.5 million of guarantees were outstanding of which $458.8 million were used. There were no amounts outstanding related to the amounts available under the credit facility for working capital needs at March 31, 2001; however, EOTT may draw down on these amounts prior to year-end.  Enron does not intend to renew this facility.  EOTT expects to replace the portion of the facility related to letters of credit and guarantees with a facility from third party financial institutions for approximately $300 million prior to the expiration of the Enron facility.  In this effort, EOTT has identified several letters of credit and guarantees outstanding that were no longer needed.  As a result, EOTT has reduced the total amount of the credit facility outstanding under the guarantees and LOCs from approximately $640 million at December 31, 2000 to $290 million as of March 31, 2001 and intends to reduce it further to approximately $250 million.  EOTT is currently in discussions with several banks to provide this facility and expects to close the facility by year-end.</w:t>
      </w:r>
    </w:p>
    <w:p>
      <w:pPr>
        <w:pStyle w:val="Body"/>
        <w:ind w:start="90" w:end="0"/>
        <w:rPr/>
      </w:pPr>
      <w:r>
        <w:rPr/>
      </w:r>
    </w:p>
    <w:p>
      <w:pPr>
        <w:pStyle w:val="Body"/>
        <w:ind w:start="90" w:end="0"/>
        <w:rPr/>
      </w:pPr>
      <w:r>
        <w:rPr/>
        <w:t>Enron has committed to provide $29 million in cash distribution support in an amount necessary to pay the minimum quarterly distributions to common unit holders ($0.475 per unit) with respect to quarters ending on or before December 31, 2001. Enron has funded $9.3 million under this commitment in exchange for APIs.  Enron does not intend to renew this commitment.</w:t>
      </w:r>
    </w:p>
    <w:p>
      <w:pPr>
        <w:pStyle w:val="Body"/>
        <w:ind w:start="90" w:end="0"/>
        <w:rPr/>
      </w:pPr>
      <w:r>
        <w:rPr/>
      </w:r>
    </w:p>
    <w:p>
      <w:pPr>
        <w:pStyle w:val="Body"/>
        <w:ind w:start="90" w:end="0"/>
        <w:rPr/>
      </w:pPr>
      <w:r>
        <w:rPr/>
        <w:t>Enron and its affiliates had net receivables of approximately $17 million at year-end from EOTT primarily related to the sale of crude oil and other products, but also related to operational and administrative services performed for EOTT.</w:t>
      </w:r>
    </w:p>
    <w:p>
      <w:pPr>
        <w:pStyle w:val="Body"/>
        <w:ind w:start="90" w:end="0"/>
        <w:rPr/>
      </w:pPr>
      <w:r>
        <w:rPr/>
      </w:r>
    </w:p>
    <w:p>
      <w:pPr>
        <w:pStyle w:val="Body"/>
        <w:ind w:start="90" w:end="0"/>
        <w:rPr/>
      </w:pPr>
      <w:r>
        <w:rPr/>
        <w:t>EOTT has a forward commodity repurchase agreement with Standard Chartered Trade Services Corporation which provides for the financing of purchases of crude oil inventory.  The repurchase dates for such transactions can be up to 180 days subsequent to the transaction date.  The total amount available under this uncommitted facility is $100 million.  EOTT consistently carries inventory in amounts sufficient to draw down the full amount of this facility.  This facility has been in place since February 1998.</w:t>
      </w:r>
    </w:p>
    <w:p>
      <w:pPr>
        <w:pStyle w:val="Body"/>
        <w:ind w:start="90" w:end="0"/>
        <w:rPr/>
      </w:pPr>
      <w:r>
        <w:rPr/>
      </w:r>
    </w:p>
    <w:p>
      <w:pPr>
        <w:pStyle w:val="Body"/>
        <w:ind w:start="90" w:end="0"/>
        <w:rPr/>
      </w:pPr>
      <w:r>
        <w:rPr/>
        <w:t>EOTT also has a receivables purchase agreement with Standard Chartered Trade Services Corporation whereby, on an uncommitted and discretionary basis, EOTT may sell up to $100 million of receivables.  EOTT currently has receivables meeting the guidelines set for eligible receivables under the agreement sufficient to draw down the full amount of the facility.  This facility has been in place since October 1999.</w:t>
      </w:r>
    </w:p>
    <w:p>
      <w:pPr>
        <w:pStyle w:val="Body"/>
        <w:ind w:start="0" w:end="0"/>
        <w:rPr/>
      </w:pPr>
      <w:r>
        <w:rPr/>
      </w:r>
    </w:p>
    <w:p>
      <w:pPr>
        <w:pStyle w:val="Body"/>
        <w:ind w:start="0" w:end="0"/>
        <w:rPr>
          <w:b/>
          <w:bCs/>
          <w:i/>
          <w:i/>
          <w:iCs/>
        </w:rPr>
      </w:pPr>
      <w:r>
        <w:rPr>
          <w:b/>
          <w:bCs/>
          <w:i/>
          <w:iCs/>
        </w:rPr>
        <w:t>Current Transaction</w:t>
      </w:r>
    </w:p>
    <w:p>
      <w:pPr>
        <w:pStyle w:val="Body"/>
        <w:ind w:start="0" w:end="0"/>
        <w:rPr>
          <w:b/>
          <w:bCs/>
          <w:i/>
          <w:i/>
          <w:iCs/>
        </w:rPr>
      </w:pPr>
      <w:r>
        <w:rPr>
          <w:b/>
          <w:bCs/>
          <w:i/>
          <w:iCs/>
        </w:rPr>
      </w:r>
    </w:p>
    <w:p>
      <w:pPr>
        <w:pStyle w:val="Body"/>
        <w:rPr/>
      </w:pPr>
      <w:r>
        <w:rPr/>
        <w:t>EGP Fuels owned an MTBE plant and leased the Mont Belvieu storage facility from an off-balance sheet synthetic lease structure.  EGP Fuels also owned the land and rights-of-way related to the Mont Belvieu storage facility as well as a pipeline grid system that connects each of these facilities.  EGP Fuels conveyed the Mont Belvieu storage facility from the synthetic lease structure to EOTT and sold the MTBE plant and the grid system to EOTT for approximately $117 million in total.  These transactions were completed on June 29, 2001.</w:t>
      </w:r>
    </w:p>
    <w:p>
      <w:pPr>
        <w:pStyle w:val="Body"/>
        <w:rPr/>
      </w:pPr>
      <w:r>
        <w:rPr/>
      </w:r>
    </w:p>
    <w:p>
      <w:pPr>
        <w:pStyle w:val="Body"/>
        <w:rPr/>
      </w:pPr>
      <w:r>
        <w:rPr/>
        <w:t xml:space="preserve">Concurrently, EOTT and EGLI entered into a Toll Conversion Agreement and Mont Belvieu Storage Capacity Purchase Agreement each with a ten year term.  </w:t>
      </w:r>
    </w:p>
    <w:p>
      <w:pPr>
        <w:pStyle w:val="Body"/>
        <w:rPr/>
      </w:pPr>
      <w:r>
        <w:rPr/>
      </w:r>
    </w:p>
    <w:p>
      <w:pPr>
        <w:pStyle w:val="Body"/>
        <w:rPr/>
      </w:pPr>
      <w:r>
        <w:rPr/>
        <w:t>Under the Toll Conversion Agreement, EGM will pay EOTT a conversion fee of approximately $0.27 per gallon escalating to $0.34 per gallon by 2011 to convert methanol, normal butane, natural gas and isobutane return stream (collectively “feedstocks”) into MTBE and other associated products (collectively “products”).  The minimum quarterly conversion amounts are stated amounts provided in a schedule to the agreement.  EGLI nominates its expected quarterly feedstock volumes 30 days prior to the start of any calendar quarter and nominates actual monthly feedstock volumes during the quarter 5 days prior to the start of any month.  After such monthly nomination, EOTT must schedule the delivery point for the feedstocks and products within a set amount of time depending on the product.  The delivery points are are either at the MTBE plant purchased by EOTT or a liquid delivery point for each of the related feedstocks or products.  The yield factors are agreed to in the contract and EOTT is at risk for any additional feedstock required due to inefficient yields.  EOTT is at risk of loss for feedstocks received and at risk for converted products until delivered to EGLI.  EOTT owes market based damages for volumes not converted and delivered and is not excused performance due to force majeure.</w:t>
      </w:r>
    </w:p>
    <w:p>
      <w:pPr>
        <w:pStyle w:val="Body"/>
        <w:rPr/>
      </w:pPr>
      <w:r>
        <w:rPr/>
      </w:r>
    </w:p>
    <w:p>
      <w:pPr>
        <w:pStyle w:val="Body"/>
        <w:rPr/>
      </w:pPr>
      <w:r>
        <w:rPr/>
        <w:t>EGLI has an option to convert the products under the agreement from MTBE to isooctane, isobutylene, isobutane or other products and a corresponding change in feedstocks.  The adjusted conversion cost will be fixed and calculated to reflect (1) a market rate of return to EOTT consistent with the initial agreement on the sum of a) the amount a contractor would cost to convert EOTT’s MTBE facility to provide isoctane instead of MTBE (based on a bona fide turnkey construction bid), and b) the termination amount, reduced by $20 million, that would have been due under the initial agreement at the time of conversion, plus (2) commercially reasonable operating and maintenance costs for a converted facility as determined by an independent third party.</w:t>
      </w:r>
    </w:p>
    <w:p>
      <w:pPr>
        <w:pStyle w:val="Body"/>
        <w:rPr/>
      </w:pPr>
      <w:r>
        <w:rPr/>
      </w:r>
    </w:p>
    <w:p>
      <w:pPr>
        <w:pStyle w:val="Body"/>
        <w:rPr/>
      </w:pPr>
      <w:r>
        <w:rPr/>
        <w:t>Under the Mont Belvieu Storage Capacity Purchase Agreement, EGLI will purchase from EOTT firm capacity in each of the wells in the Mont Belvieu Storage facility and pay to EOTT capacity and throughput fees.  EGLI’s capacity in each well is a fixed volumes as listed in a chedule to the agreement and the fees are also fixed and stated in a schedule to the agreement.  EOTT is responsible for the operation and maintenance of the facility.  EGLI retains title to all products in storage.  EOTT is excused performance during events of force majeure, but is required to pay cost to cover damages in all other events of non-performance.</w:t>
      </w:r>
    </w:p>
    <w:p>
      <w:pPr>
        <w:pStyle w:val="Body"/>
        <w:rPr/>
      </w:pPr>
      <w:r>
        <w:rPr/>
      </w:r>
    </w:p>
    <w:p>
      <w:pPr>
        <w:pStyle w:val="Body"/>
        <w:rPr>
          <w:b/>
          <w:bCs/>
          <w:i/>
          <w:i/>
          <w:iCs/>
        </w:rPr>
      </w:pPr>
      <w:r>
        <w:rPr>
          <w:b/>
          <w:bCs/>
          <w:i/>
          <w:iCs/>
        </w:rPr>
        <w:t>Market Statistics</w:t>
      </w:r>
    </w:p>
    <w:p>
      <w:pPr>
        <w:pStyle w:val="Body"/>
        <w:rPr>
          <w:b/>
          <w:bCs/>
          <w:i/>
          <w:i/>
          <w:iCs/>
        </w:rPr>
      </w:pPr>
      <w:r>
        <w:rPr>
          <w:b/>
          <w:bCs/>
          <w:i/>
          <w:iCs/>
        </w:rPr>
      </w:r>
    </w:p>
    <w:p>
      <w:pPr>
        <w:pStyle w:val="Body"/>
        <w:rPr/>
      </w:pPr>
      <w:r>
        <w:rPr/>
        <w:t>The current U.S. production and existing stock of MTBE are largely concentrated in the Gulf Coast region which includes the MTBE plant and storage facility referenced in this discussion.  Nationwide and Gulf Coast production for the year 2000 and the first four months of 2001 are as follows:</w:t>
      </w:r>
    </w:p>
    <w:p>
      <w:pPr>
        <w:pStyle w:val="Body"/>
        <w:rPr/>
      </w:pPr>
      <w:r>
        <w:rPr/>
      </w:r>
    </w:p>
    <w:p>
      <w:pPr>
        <w:pStyle w:val="Heading7"/>
        <w:ind w:hanging="0" w:start="0"/>
        <w:jc w:val="center"/>
        <w:rPr>
          <w:color w:val="000080"/>
        </w:rPr>
      </w:pPr>
      <w:r>
        <w:rPr>
          <w:color w:val="000080"/>
        </w:rPr>
        <w:t xml:space="preserve">Monthly Methyl Tertiary Butyl Ether (MTBE) Production, and Stocks </w:t>
      </w:r>
    </w:p>
    <w:p>
      <w:pPr>
        <w:pStyle w:val="Heading7"/>
        <w:ind w:hanging="0" w:start="0"/>
        <w:jc w:val="center"/>
        <w:rPr>
          <w:color w:val="000080"/>
        </w:rPr>
      </w:pPr>
      <w:r>
        <w:rPr>
          <w:color w:val="000080"/>
        </w:rPr>
        <w:t>by Petroleum Administration for Defense Districts (PADD)</w:t>
      </w:r>
    </w:p>
    <w:p>
      <w:pPr>
        <w:pStyle w:val="Normal"/>
        <w:tabs>
          <w:tab w:val="clear" w:pos="540"/>
        </w:tabs>
        <w:overflowPunct w:val="true"/>
        <w:jc w:val="center"/>
        <w:textAlignment w:val="auto"/>
        <w:rPr>
          <w:rFonts w:cs="Arial"/>
          <w:b/>
          <w:bCs/>
          <w:color w:val="000080"/>
          <w:sz w:val="16"/>
        </w:rPr>
      </w:pPr>
      <w:r>
        <w:rPr>
          <w:rFonts w:cs="Arial"/>
          <w:b/>
          <w:bCs/>
          <w:color w:val="000080"/>
          <w:sz w:val="16"/>
        </w:rPr>
        <w:t>(Thousand Barrels per Day)</w:t>
      </w:r>
    </w:p>
    <w:p>
      <w:pPr>
        <w:pStyle w:val="Normal"/>
        <w:tabs>
          <w:tab w:val="clear" w:pos="540"/>
        </w:tabs>
        <w:overflowPunct w:val="true"/>
        <w:textAlignment w:val="auto"/>
        <w:rPr>
          <w:rFonts w:cs="Arial"/>
          <w:b/>
          <w:bCs/>
          <w:color w:val="000080"/>
          <w:sz w:val="15"/>
          <w:szCs w:val="15"/>
        </w:rPr>
      </w:pPr>
      <w:r>
        <w:rPr>
          <w:rFonts w:cs="Arial"/>
          <w:b/>
          <w:bCs/>
          <w:color w:val="000080"/>
          <w:sz w:val="15"/>
          <w:szCs w:val="15"/>
        </w:rPr>
      </w:r>
    </w:p>
    <w:tbl>
      <w:tblPr>
        <w:tblW w:w="10152" w:type="dxa"/>
        <w:jc w:val="start"/>
        <w:tblInd w:w="0" w:type="dxa"/>
        <w:tblLayout w:type="fixed"/>
        <w:tblCellMar>
          <w:top w:w="0" w:type="dxa"/>
          <w:start w:w="108" w:type="dxa"/>
          <w:bottom w:w="0" w:type="dxa"/>
          <w:end w:w="108" w:type="dxa"/>
        </w:tblCellMar>
      </w:tblPr>
      <w:tblGrid>
        <w:gridCol w:w="1808"/>
        <w:gridCol w:w="695"/>
        <w:gridCol w:w="695"/>
        <w:gridCol w:w="696"/>
        <w:gridCol w:w="695"/>
        <w:gridCol w:w="695"/>
        <w:gridCol w:w="696"/>
        <w:gridCol w:w="695"/>
        <w:gridCol w:w="695"/>
        <w:gridCol w:w="696"/>
        <w:gridCol w:w="695"/>
        <w:gridCol w:w="695"/>
        <w:gridCol w:w="696"/>
      </w:tblGrid>
      <w:tr>
        <w:trPr/>
        <w:tc>
          <w:tcPr>
            <w:tcW w:w="1808" w:type="dxa"/>
            <w:tcBorders>
              <w:top w:val="single" w:sz="12" w:space="0" w:color="000000"/>
              <w:start w:val="single" w:sz="12" w:space="0" w:color="000000"/>
              <w:bottom w:val="single" w:sz="6" w:space="0" w:color="000000"/>
            </w:tcBorders>
            <w:shd w:fill="000080" w:val="clear"/>
          </w:tcPr>
          <w:p>
            <w:pPr>
              <w:pStyle w:val="Normal"/>
              <w:tabs>
                <w:tab w:val="clear" w:pos="540"/>
              </w:tabs>
              <w:overflowPunct w:val="true"/>
              <w:textAlignment w:val="auto"/>
              <w:rPr>
                <w:rFonts w:cs="Arial"/>
                <w:b/>
                <w:bCs/>
                <w:i/>
                <w:i/>
                <w:iCs/>
                <w:color w:val="000000"/>
                <w:sz w:val="15"/>
                <w:szCs w:val="15"/>
              </w:rPr>
            </w:pPr>
            <w:r>
              <w:rPr>
                <w:rFonts w:cs="Arial"/>
                <w:b/>
                <w:bCs/>
                <w:i/>
                <w:iCs/>
                <w:color w:val="000000"/>
                <w:sz w:val="15"/>
                <w:szCs w:val="15"/>
              </w:rPr>
              <w:t>District/Months</w:t>
            </w:r>
          </w:p>
        </w:tc>
        <w:tc>
          <w:tcPr>
            <w:tcW w:w="695" w:type="dxa"/>
            <w:tcBorders>
              <w:top w:val="single" w:sz="12" w:space="0" w:color="000000"/>
              <w:bottom w:val="single" w:sz="6" w:space="0" w:color="000000"/>
            </w:tcBorders>
            <w:shd w:fill="000080" w:val="clear"/>
          </w:tcPr>
          <w:p>
            <w:pPr>
              <w:pStyle w:val="Normal"/>
              <w:tabs>
                <w:tab w:val="clear" w:pos="540"/>
              </w:tabs>
              <w:overflowPunct w:val="true"/>
              <w:textAlignment w:val="auto"/>
              <w:rPr>
                <w:rFonts w:cs="Arial"/>
                <w:b/>
                <w:bCs/>
                <w:i/>
                <w:i/>
                <w:iCs/>
                <w:color w:val="FFFFFF"/>
                <w:sz w:val="15"/>
                <w:szCs w:val="15"/>
              </w:rPr>
            </w:pPr>
            <w:r>
              <w:rPr>
                <w:rFonts w:cs="Arial"/>
                <w:b/>
                <w:bCs/>
                <w:i/>
                <w:iCs/>
                <w:color w:val="FFFFFF"/>
                <w:sz w:val="15"/>
                <w:szCs w:val="15"/>
              </w:rPr>
              <w:t>Jan</w:t>
            </w:r>
          </w:p>
        </w:tc>
        <w:tc>
          <w:tcPr>
            <w:tcW w:w="695" w:type="dxa"/>
            <w:tcBorders>
              <w:top w:val="single" w:sz="12" w:space="0" w:color="000000"/>
              <w:bottom w:val="single" w:sz="6" w:space="0" w:color="000000"/>
            </w:tcBorders>
            <w:shd w:fill="000080" w:val="clear"/>
          </w:tcPr>
          <w:p>
            <w:pPr>
              <w:pStyle w:val="Normal"/>
              <w:tabs>
                <w:tab w:val="clear" w:pos="540"/>
              </w:tabs>
              <w:overflowPunct w:val="true"/>
              <w:textAlignment w:val="auto"/>
              <w:rPr>
                <w:rFonts w:cs="Arial"/>
                <w:b/>
                <w:bCs/>
                <w:i/>
                <w:i/>
                <w:iCs/>
                <w:color w:val="FFFFFF"/>
                <w:sz w:val="15"/>
                <w:szCs w:val="15"/>
              </w:rPr>
            </w:pPr>
            <w:r>
              <w:rPr>
                <w:rFonts w:cs="Arial"/>
                <w:b/>
                <w:bCs/>
                <w:i/>
                <w:iCs/>
                <w:color w:val="FFFFFF"/>
                <w:sz w:val="15"/>
                <w:szCs w:val="15"/>
              </w:rPr>
              <w:t>Feb</w:t>
            </w:r>
          </w:p>
        </w:tc>
        <w:tc>
          <w:tcPr>
            <w:tcW w:w="696" w:type="dxa"/>
            <w:tcBorders>
              <w:top w:val="single" w:sz="12" w:space="0" w:color="000000"/>
              <w:bottom w:val="single" w:sz="6" w:space="0" w:color="000000"/>
            </w:tcBorders>
            <w:shd w:fill="000080" w:val="clear"/>
          </w:tcPr>
          <w:p>
            <w:pPr>
              <w:pStyle w:val="Normal"/>
              <w:tabs>
                <w:tab w:val="clear" w:pos="540"/>
              </w:tabs>
              <w:overflowPunct w:val="true"/>
              <w:textAlignment w:val="auto"/>
              <w:rPr>
                <w:rFonts w:cs="Arial"/>
                <w:b/>
                <w:bCs/>
                <w:i/>
                <w:i/>
                <w:iCs/>
                <w:color w:val="FFFFFF"/>
                <w:sz w:val="15"/>
                <w:szCs w:val="15"/>
              </w:rPr>
            </w:pPr>
            <w:r>
              <w:rPr>
                <w:rFonts w:cs="Arial"/>
                <w:b/>
                <w:bCs/>
                <w:i/>
                <w:iCs/>
                <w:color w:val="FFFFFF"/>
                <w:sz w:val="15"/>
                <w:szCs w:val="15"/>
              </w:rPr>
              <w:t>Mar</w:t>
            </w:r>
          </w:p>
        </w:tc>
        <w:tc>
          <w:tcPr>
            <w:tcW w:w="695" w:type="dxa"/>
            <w:tcBorders>
              <w:top w:val="single" w:sz="12" w:space="0" w:color="000000"/>
              <w:bottom w:val="single" w:sz="6" w:space="0" w:color="000000"/>
            </w:tcBorders>
            <w:shd w:fill="000080" w:val="clear"/>
          </w:tcPr>
          <w:p>
            <w:pPr>
              <w:pStyle w:val="Normal"/>
              <w:tabs>
                <w:tab w:val="clear" w:pos="540"/>
              </w:tabs>
              <w:overflowPunct w:val="true"/>
              <w:textAlignment w:val="auto"/>
              <w:rPr>
                <w:rFonts w:cs="Arial"/>
                <w:b/>
                <w:bCs/>
                <w:i/>
                <w:i/>
                <w:iCs/>
                <w:color w:val="FFFFFF"/>
                <w:sz w:val="15"/>
                <w:szCs w:val="15"/>
              </w:rPr>
            </w:pPr>
            <w:r>
              <w:rPr>
                <w:rFonts w:cs="Arial"/>
                <w:b/>
                <w:bCs/>
                <w:i/>
                <w:iCs/>
                <w:color w:val="FFFFFF"/>
                <w:sz w:val="15"/>
                <w:szCs w:val="15"/>
              </w:rPr>
              <w:t>April</w:t>
            </w:r>
          </w:p>
        </w:tc>
        <w:tc>
          <w:tcPr>
            <w:tcW w:w="695" w:type="dxa"/>
            <w:tcBorders>
              <w:top w:val="single" w:sz="12" w:space="0" w:color="000000"/>
              <w:bottom w:val="single" w:sz="6" w:space="0" w:color="000000"/>
            </w:tcBorders>
            <w:shd w:fill="000080" w:val="clear"/>
          </w:tcPr>
          <w:p>
            <w:pPr>
              <w:pStyle w:val="Normal"/>
              <w:tabs>
                <w:tab w:val="clear" w:pos="540"/>
              </w:tabs>
              <w:overflowPunct w:val="true"/>
              <w:textAlignment w:val="auto"/>
              <w:rPr>
                <w:rFonts w:cs="Arial"/>
                <w:b/>
                <w:bCs/>
                <w:i/>
                <w:i/>
                <w:iCs/>
                <w:color w:val="FFFFFF"/>
                <w:sz w:val="15"/>
                <w:szCs w:val="15"/>
              </w:rPr>
            </w:pPr>
            <w:r>
              <w:rPr>
                <w:rFonts w:cs="Arial"/>
                <w:b/>
                <w:bCs/>
                <w:i/>
                <w:iCs/>
                <w:color w:val="FFFFFF"/>
                <w:sz w:val="15"/>
                <w:szCs w:val="15"/>
              </w:rPr>
              <w:t>May</w:t>
            </w:r>
          </w:p>
        </w:tc>
        <w:tc>
          <w:tcPr>
            <w:tcW w:w="696" w:type="dxa"/>
            <w:tcBorders>
              <w:top w:val="single" w:sz="12" w:space="0" w:color="000000"/>
              <w:bottom w:val="single" w:sz="6" w:space="0" w:color="000000"/>
            </w:tcBorders>
            <w:shd w:fill="000080" w:val="clear"/>
          </w:tcPr>
          <w:p>
            <w:pPr>
              <w:pStyle w:val="Normal"/>
              <w:tabs>
                <w:tab w:val="clear" w:pos="540"/>
              </w:tabs>
              <w:overflowPunct w:val="true"/>
              <w:textAlignment w:val="auto"/>
              <w:rPr>
                <w:rFonts w:cs="Arial"/>
                <w:b/>
                <w:bCs/>
                <w:i/>
                <w:i/>
                <w:iCs/>
                <w:color w:val="FFFFFF"/>
                <w:sz w:val="15"/>
                <w:szCs w:val="15"/>
              </w:rPr>
            </w:pPr>
            <w:r>
              <w:rPr>
                <w:rFonts w:cs="Arial"/>
                <w:b/>
                <w:bCs/>
                <w:i/>
                <w:iCs/>
                <w:color w:val="FFFFFF"/>
                <w:sz w:val="15"/>
                <w:szCs w:val="15"/>
              </w:rPr>
              <w:t>Jun</w:t>
            </w:r>
          </w:p>
        </w:tc>
        <w:tc>
          <w:tcPr>
            <w:tcW w:w="695" w:type="dxa"/>
            <w:tcBorders>
              <w:top w:val="single" w:sz="12" w:space="0" w:color="000000"/>
              <w:bottom w:val="single" w:sz="6" w:space="0" w:color="000000"/>
            </w:tcBorders>
            <w:shd w:fill="000080" w:val="clear"/>
          </w:tcPr>
          <w:p>
            <w:pPr>
              <w:pStyle w:val="Normal"/>
              <w:tabs>
                <w:tab w:val="clear" w:pos="540"/>
              </w:tabs>
              <w:overflowPunct w:val="true"/>
              <w:textAlignment w:val="auto"/>
              <w:rPr>
                <w:rFonts w:cs="Arial"/>
                <w:b/>
                <w:bCs/>
                <w:i/>
                <w:i/>
                <w:iCs/>
                <w:color w:val="FFFFFF"/>
                <w:sz w:val="15"/>
                <w:szCs w:val="15"/>
              </w:rPr>
            </w:pPr>
            <w:r>
              <w:rPr>
                <w:rFonts w:cs="Arial"/>
                <w:b/>
                <w:bCs/>
                <w:i/>
                <w:iCs/>
                <w:color w:val="FFFFFF"/>
                <w:sz w:val="15"/>
                <w:szCs w:val="15"/>
              </w:rPr>
              <w:t>Jul</w:t>
            </w:r>
          </w:p>
        </w:tc>
        <w:tc>
          <w:tcPr>
            <w:tcW w:w="695" w:type="dxa"/>
            <w:tcBorders>
              <w:top w:val="single" w:sz="12" w:space="0" w:color="000000"/>
              <w:bottom w:val="single" w:sz="6" w:space="0" w:color="000000"/>
            </w:tcBorders>
            <w:shd w:fill="000080" w:val="clear"/>
          </w:tcPr>
          <w:p>
            <w:pPr>
              <w:pStyle w:val="Normal"/>
              <w:tabs>
                <w:tab w:val="clear" w:pos="540"/>
              </w:tabs>
              <w:overflowPunct w:val="true"/>
              <w:textAlignment w:val="auto"/>
              <w:rPr>
                <w:rFonts w:cs="Arial"/>
                <w:b/>
                <w:bCs/>
                <w:i/>
                <w:i/>
                <w:iCs/>
                <w:color w:val="FFFFFF"/>
                <w:sz w:val="15"/>
                <w:szCs w:val="15"/>
              </w:rPr>
            </w:pPr>
            <w:r>
              <w:rPr>
                <w:rFonts w:cs="Arial"/>
                <w:b/>
                <w:bCs/>
                <w:i/>
                <w:iCs/>
                <w:color w:val="FFFFFF"/>
                <w:sz w:val="15"/>
                <w:szCs w:val="15"/>
              </w:rPr>
              <w:t>Aug</w:t>
            </w:r>
          </w:p>
        </w:tc>
        <w:tc>
          <w:tcPr>
            <w:tcW w:w="696" w:type="dxa"/>
            <w:tcBorders>
              <w:top w:val="single" w:sz="12" w:space="0" w:color="000000"/>
              <w:bottom w:val="single" w:sz="6" w:space="0" w:color="000000"/>
            </w:tcBorders>
            <w:shd w:fill="000080" w:val="clear"/>
          </w:tcPr>
          <w:p>
            <w:pPr>
              <w:pStyle w:val="Normal"/>
              <w:tabs>
                <w:tab w:val="clear" w:pos="540"/>
              </w:tabs>
              <w:overflowPunct w:val="true"/>
              <w:textAlignment w:val="auto"/>
              <w:rPr>
                <w:rFonts w:cs="Arial"/>
                <w:b/>
                <w:bCs/>
                <w:i/>
                <w:i/>
                <w:iCs/>
                <w:color w:val="FFFFFF"/>
                <w:sz w:val="15"/>
                <w:szCs w:val="15"/>
              </w:rPr>
            </w:pPr>
            <w:r>
              <w:rPr>
                <w:rFonts w:cs="Arial"/>
                <w:b/>
                <w:bCs/>
                <w:i/>
                <w:iCs/>
                <w:color w:val="FFFFFF"/>
                <w:sz w:val="15"/>
                <w:szCs w:val="15"/>
              </w:rPr>
              <w:t>Sep</w:t>
            </w:r>
          </w:p>
        </w:tc>
        <w:tc>
          <w:tcPr>
            <w:tcW w:w="695" w:type="dxa"/>
            <w:tcBorders>
              <w:top w:val="single" w:sz="12" w:space="0" w:color="000000"/>
              <w:bottom w:val="single" w:sz="6" w:space="0" w:color="000000"/>
            </w:tcBorders>
            <w:shd w:fill="000080" w:val="clear"/>
          </w:tcPr>
          <w:p>
            <w:pPr>
              <w:pStyle w:val="Normal"/>
              <w:tabs>
                <w:tab w:val="clear" w:pos="540"/>
              </w:tabs>
              <w:overflowPunct w:val="true"/>
              <w:textAlignment w:val="auto"/>
              <w:rPr>
                <w:rFonts w:cs="Arial"/>
                <w:b/>
                <w:bCs/>
                <w:i/>
                <w:i/>
                <w:iCs/>
                <w:color w:val="FFFFFF"/>
                <w:sz w:val="15"/>
                <w:szCs w:val="15"/>
              </w:rPr>
            </w:pPr>
            <w:r>
              <w:rPr>
                <w:rFonts w:cs="Arial"/>
                <w:b/>
                <w:bCs/>
                <w:i/>
                <w:iCs/>
                <w:color w:val="FFFFFF"/>
                <w:sz w:val="15"/>
                <w:szCs w:val="15"/>
              </w:rPr>
              <w:t>Oct</w:t>
            </w:r>
          </w:p>
        </w:tc>
        <w:tc>
          <w:tcPr>
            <w:tcW w:w="695" w:type="dxa"/>
            <w:tcBorders>
              <w:top w:val="single" w:sz="12" w:space="0" w:color="000000"/>
              <w:bottom w:val="single" w:sz="6" w:space="0" w:color="000000"/>
            </w:tcBorders>
            <w:shd w:fill="000080" w:val="clear"/>
          </w:tcPr>
          <w:p>
            <w:pPr>
              <w:pStyle w:val="Normal"/>
              <w:tabs>
                <w:tab w:val="clear" w:pos="540"/>
              </w:tabs>
              <w:overflowPunct w:val="true"/>
              <w:textAlignment w:val="auto"/>
              <w:rPr>
                <w:rFonts w:cs="Arial"/>
                <w:b/>
                <w:bCs/>
                <w:i/>
                <w:i/>
                <w:iCs/>
                <w:color w:val="FFFFFF"/>
                <w:sz w:val="15"/>
                <w:szCs w:val="15"/>
              </w:rPr>
            </w:pPr>
            <w:r>
              <w:rPr>
                <w:rFonts w:cs="Arial"/>
                <w:b/>
                <w:bCs/>
                <w:i/>
                <w:iCs/>
                <w:color w:val="FFFFFF"/>
                <w:sz w:val="15"/>
                <w:szCs w:val="15"/>
              </w:rPr>
              <w:t>Nov</w:t>
            </w:r>
          </w:p>
        </w:tc>
        <w:tc>
          <w:tcPr>
            <w:tcW w:w="696" w:type="dxa"/>
            <w:tcBorders>
              <w:top w:val="single" w:sz="12" w:space="0" w:color="000000"/>
              <w:bottom w:val="single" w:sz="6" w:space="0" w:color="000000"/>
              <w:end w:val="single" w:sz="12" w:space="0" w:color="000000"/>
            </w:tcBorders>
            <w:shd w:fill="000080" w:val="clear"/>
          </w:tcPr>
          <w:p>
            <w:pPr>
              <w:pStyle w:val="Normal"/>
              <w:tabs>
                <w:tab w:val="clear" w:pos="540"/>
              </w:tabs>
              <w:overflowPunct w:val="true"/>
              <w:textAlignment w:val="auto"/>
              <w:rPr>
                <w:rFonts w:cs="Arial"/>
                <w:b/>
                <w:bCs/>
                <w:i/>
                <w:i/>
                <w:iCs/>
                <w:color w:val="FFFFFF"/>
                <w:sz w:val="15"/>
                <w:szCs w:val="15"/>
              </w:rPr>
            </w:pPr>
            <w:r>
              <w:rPr>
                <w:rFonts w:cs="Arial"/>
                <w:b/>
                <w:bCs/>
                <w:i/>
                <w:iCs/>
                <w:color w:val="FFFFFF"/>
                <w:sz w:val="15"/>
                <w:szCs w:val="15"/>
              </w:rPr>
              <w:t>Dec</w:t>
            </w:r>
          </w:p>
        </w:tc>
      </w:tr>
      <w:tr>
        <w:trPr/>
        <w:tc>
          <w:tcPr>
            <w:tcW w:w="1808" w:type="dxa"/>
            <w:tcBorders>
              <w:top w:val="single" w:sz="6" w:space="0" w:color="000000"/>
              <w:start w:val="single" w:sz="12" w:space="0" w:color="000000"/>
            </w:tcBorders>
            <w:shd w:fill="C0C0C0" w:val="clear"/>
          </w:tcPr>
          <w:p>
            <w:pPr>
              <w:pStyle w:val="Normal"/>
              <w:tabs>
                <w:tab w:val="clear" w:pos="540"/>
              </w:tabs>
              <w:overflowPunct w:val="true"/>
              <w:textAlignment w:val="auto"/>
              <w:rPr>
                <w:rFonts w:cs="Arial"/>
                <w:b/>
                <w:bCs/>
                <w:color w:val="000000"/>
                <w:sz w:val="15"/>
                <w:szCs w:val="15"/>
              </w:rPr>
            </w:pPr>
            <w:r>
              <w:rPr>
                <w:rFonts w:cs="Arial"/>
                <w:b/>
                <w:bCs/>
                <w:color w:val="000000"/>
                <w:sz w:val="15"/>
                <w:szCs w:val="15"/>
              </w:rPr>
              <w:t>Total US Production</w:t>
            </w:r>
          </w:p>
        </w:tc>
        <w:tc>
          <w:tcPr>
            <w:tcW w:w="695" w:type="dxa"/>
            <w:tcBorders>
              <w:top w:val="single" w:sz="6" w:space="0" w:color="000000"/>
            </w:tcBorders>
            <w:shd w:fill="C0C0C0" w:val="clear"/>
          </w:tcPr>
          <w:p>
            <w:pPr>
              <w:pStyle w:val="Normal"/>
              <w:tabs>
                <w:tab w:val="clear" w:pos="540"/>
              </w:tabs>
              <w:overflowPunct w:val="true"/>
              <w:snapToGrid w:val="false"/>
              <w:textAlignment w:val="auto"/>
              <w:rPr>
                <w:rFonts w:cs="Arial"/>
                <w:b/>
                <w:bCs/>
                <w:color w:val="000080"/>
                <w:sz w:val="15"/>
                <w:szCs w:val="15"/>
              </w:rPr>
            </w:pPr>
            <w:r>
              <w:rPr>
                <w:rFonts w:cs="Arial"/>
                <w:b/>
                <w:bCs/>
                <w:color w:val="000080"/>
                <w:sz w:val="15"/>
                <w:szCs w:val="15"/>
              </w:rPr>
            </w:r>
          </w:p>
        </w:tc>
        <w:tc>
          <w:tcPr>
            <w:tcW w:w="695" w:type="dxa"/>
            <w:tcBorders>
              <w:top w:val="single" w:sz="6"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top w:val="single" w:sz="6"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top w:val="single" w:sz="6"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top w:val="single" w:sz="6"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top w:val="single" w:sz="6"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top w:val="single" w:sz="6"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top w:val="single" w:sz="6"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top w:val="single" w:sz="6"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top w:val="single" w:sz="6"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top w:val="single" w:sz="6"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top w:val="single" w:sz="6" w:space="0" w:color="000000"/>
              <w:end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r>
      <w:tr>
        <w:trPr/>
        <w:tc>
          <w:tcPr>
            <w:tcW w:w="1808" w:type="dxa"/>
            <w:tcBorders>
              <w:start w:val="single" w:sz="12" w:space="0" w:color="000000"/>
            </w:tcBorders>
            <w:shd w:fill="C0C0C0" w:val="clear"/>
          </w:tcPr>
          <w:p>
            <w:pPr>
              <w:pStyle w:val="Normal"/>
              <w:tabs>
                <w:tab w:val="clear" w:pos="540"/>
              </w:tabs>
              <w:overflowPunct w:val="true"/>
              <w:textAlignment w:val="auto"/>
              <w:rPr>
                <w:rFonts w:cs="Arial"/>
                <w:b/>
                <w:bCs/>
                <w:color w:val="000000"/>
                <w:sz w:val="15"/>
                <w:szCs w:val="15"/>
              </w:rPr>
            </w:pPr>
            <w:r>
              <w:rPr>
                <w:rFonts w:cs="Arial"/>
                <w:b/>
                <w:bCs/>
                <w:color w:val="000000"/>
                <w:sz w:val="15"/>
                <w:szCs w:val="15"/>
              </w:rPr>
              <w:t>2000</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202</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207</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213</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223</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233</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242</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223</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226</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209</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210</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192</w:t>
            </w:r>
          </w:p>
        </w:tc>
        <w:tc>
          <w:tcPr>
            <w:tcW w:w="696" w:type="dxa"/>
            <w:tcBorders>
              <w:end w:val="single" w:sz="12" w:space="0" w:color="000000"/>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160</w:t>
            </w:r>
          </w:p>
        </w:tc>
      </w:tr>
      <w:tr>
        <w:trPr/>
        <w:tc>
          <w:tcPr>
            <w:tcW w:w="1808" w:type="dxa"/>
            <w:tcBorders>
              <w:start w:val="single" w:sz="12" w:space="0" w:color="000000"/>
            </w:tcBorders>
            <w:shd w:fill="C0C0C0" w:val="clear"/>
          </w:tcPr>
          <w:p>
            <w:pPr>
              <w:pStyle w:val="Normal"/>
              <w:tabs>
                <w:tab w:val="clear" w:pos="540"/>
              </w:tabs>
              <w:overflowPunct w:val="true"/>
              <w:textAlignment w:val="auto"/>
              <w:rPr>
                <w:rFonts w:cs="Arial"/>
                <w:b/>
                <w:bCs/>
                <w:color w:val="000000"/>
                <w:sz w:val="15"/>
                <w:szCs w:val="15"/>
              </w:rPr>
            </w:pPr>
            <w:r>
              <w:rPr>
                <w:rFonts w:cs="Arial"/>
                <w:b/>
                <w:bCs/>
                <w:color w:val="000000"/>
                <w:sz w:val="15"/>
                <w:szCs w:val="15"/>
              </w:rPr>
              <w:t>2001</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142</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188</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204</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228</w:t>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end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r>
      <w:tr>
        <w:trPr/>
        <w:tc>
          <w:tcPr>
            <w:tcW w:w="1808" w:type="dxa"/>
            <w:tcBorders>
              <w:start w:val="single" w:sz="12" w:space="0" w:color="000000"/>
            </w:tcBorders>
            <w:shd w:fill="C0C0C0" w:val="clear"/>
          </w:tcPr>
          <w:p>
            <w:pPr>
              <w:pStyle w:val="Normal"/>
              <w:tabs>
                <w:tab w:val="clear" w:pos="540"/>
              </w:tabs>
              <w:overflowPunct w:val="true"/>
              <w:snapToGrid w:val="false"/>
              <w:textAlignment w:val="auto"/>
              <w:rPr>
                <w:rFonts w:cs="Arial"/>
                <w:b/>
                <w:bCs/>
                <w:color w:val="000000"/>
                <w:sz w:val="15"/>
                <w:szCs w:val="15"/>
              </w:rPr>
            </w:pPr>
            <w:r>
              <w:rPr>
                <w:rFonts w:cs="Arial"/>
                <w:b/>
                <w:bCs/>
                <w:color w:val="000000"/>
                <w:sz w:val="15"/>
                <w:szCs w:val="15"/>
              </w:rPr>
            </w:r>
          </w:p>
        </w:tc>
        <w:tc>
          <w:tcPr>
            <w:tcW w:w="695" w:type="dxa"/>
            <w:tcBorders/>
            <w:shd w:fill="C0C0C0" w:val="clear"/>
          </w:tcPr>
          <w:p>
            <w:pPr>
              <w:pStyle w:val="Normal"/>
              <w:tabs>
                <w:tab w:val="clear" w:pos="540"/>
              </w:tabs>
              <w:overflowPunct w:val="true"/>
              <w:snapToGrid w:val="false"/>
              <w:textAlignment w:val="auto"/>
              <w:rPr>
                <w:rFonts w:cs="Arial"/>
                <w:b/>
                <w:bCs/>
                <w:color w:val="000080"/>
                <w:sz w:val="15"/>
                <w:szCs w:val="15"/>
              </w:rPr>
            </w:pPr>
            <w:r>
              <w:rPr>
                <w:rFonts w:cs="Arial"/>
                <w:b/>
                <w:bCs/>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end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r>
      <w:tr>
        <w:trPr/>
        <w:tc>
          <w:tcPr>
            <w:tcW w:w="1808" w:type="dxa"/>
            <w:tcBorders>
              <w:start w:val="single" w:sz="12" w:space="0" w:color="000000"/>
            </w:tcBorders>
            <w:shd w:fill="C0C0C0" w:val="clear"/>
          </w:tcPr>
          <w:p>
            <w:pPr>
              <w:pStyle w:val="Normal"/>
              <w:tabs>
                <w:tab w:val="clear" w:pos="540"/>
              </w:tabs>
              <w:overflowPunct w:val="true"/>
              <w:textAlignment w:val="auto"/>
              <w:rPr>
                <w:rFonts w:cs="Arial"/>
                <w:b/>
                <w:bCs/>
                <w:color w:val="000000"/>
                <w:sz w:val="15"/>
                <w:szCs w:val="15"/>
              </w:rPr>
            </w:pPr>
            <w:r>
              <w:rPr>
                <w:rFonts w:cs="Arial"/>
                <w:b/>
                <w:bCs/>
                <w:color w:val="000000"/>
                <w:sz w:val="15"/>
                <w:szCs w:val="15"/>
              </w:rPr>
              <w:t>Stocks (thous. bbls.)</w:t>
            </w:r>
          </w:p>
        </w:tc>
        <w:tc>
          <w:tcPr>
            <w:tcW w:w="695" w:type="dxa"/>
            <w:tcBorders/>
            <w:shd w:fill="C0C0C0" w:val="clear"/>
          </w:tcPr>
          <w:p>
            <w:pPr>
              <w:pStyle w:val="Normal"/>
              <w:tabs>
                <w:tab w:val="clear" w:pos="540"/>
              </w:tabs>
              <w:overflowPunct w:val="true"/>
              <w:snapToGrid w:val="false"/>
              <w:textAlignment w:val="auto"/>
              <w:rPr>
                <w:rFonts w:cs="Arial"/>
                <w:b/>
                <w:bCs/>
                <w:color w:val="000080"/>
                <w:sz w:val="15"/>
                <w:szCs w:val="15"/>
              </w:rPr>
            </w:pPr>
            <w:r>
              <w:rPr>
                <w:rFonts w:cs="Arial"/>
                <w:b/>
                <w:bCs/>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end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r>
      <w:tr>
        <w:trPr/>
        <w:tc>
          <w:tcPr>
            <w:tcW w:w="1808" w:type="dxa"/>
            <w:tcBorders>
              <w:start w:val="single" w:sz="12" w:space="0" w:color="000000"/>
            </w:tcBorders>
            <w:shd w:fill="C0C0C0" w:val="clear"/>
          </w:tcPr>
          <w:p>
            <w:pPr>
              <w:pStyle w:val="Normal"/>
              <w:tabs>
                <w:tab w:val="clear" w:pos="540"/>
              </w:tabs>
              <w:overflowPunct w:val="true"/>
              <w:textAlignment w:val="auto"/>
              <w:rPr>
                <w:rFonts w:cs="Arial"/>
                <w:b/>
                <w:bCs/>
                <w:color w:val="000000"/>
                <w:sz w:val="15"/>
                <w:szCs w:val="15"/>
              </w:rPr>
            </w:pPr>
            <w:r>
              <w:rPr>
                <w:rFonts w:cs="Arial"/>
                <w:b/>
                <w:bCs/>
                <w:color w:val="000000"/>
                <w:sz w:val="15"/>
                <w:szCs w:val="15"/>
              </w:rPr>
              <w:t>2000</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9,211</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10,265</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8,906</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7,888</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8,456</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7,923</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8,234</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7,649</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7,394</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9,552</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9,722</w:t>
            </w:r>
          </w:p>
        </w:tc>
        <w:tc>
          <w:tcPr>
            <w:tcW w:w="696" w:type="dxa"/>
            <w:tcBorders>
              <w:end w:val="single" w:sz="12" w:space="0" w:color="000000"/>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7,245</w:t>
            </w:r>
          </w:p>
        </w:tc>
      </w:tr>
      <w:tr>
        <w:trPr/>
        <w:tc>
          <w:tcPr>
            <w:tcW w:w="1808" w:type="dxa"/>
            <w:tcBorders>
              <w:start w:val="single" w:sz="12" w:space="0" w:color="000000"/>
            </w:tcBorders>
            <w:shd w:fill="C0C0C0" w:val="clear"/>
          </w:tcPr>
          <w:p>
            <w:pPr>
              <w:pStyle w:val="Normal"/>
              <w:tabs>
                <w:tab w:val="clear" w:pos="540"/>
              </w:tabs>
              <w:overflowPunct w:val="true"/>
              <w:textAlignment w:val="auto"/>
              <w:rPr>
                <w:rFonts w:cs="Arial"/>
                <w:b/>
                <w:bCs/>
                <w:color w:val="000000"/>
                <w:sz w:val="15"/>
                <w:szCs w:val="15"/>
              </w:rPr>
            </w:pPr>
            <w:r>
              <w:rPr>
                <w:rFonts w:cs="Arial"/>
                <w:b/>
                <w:bCs/>
                <w:color w:val="000000"/>
                <w:sz w:val="15"/>
                <w:szCs w:val="15"/>
              </w:rPr>
              <w:t>2001</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7,915</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7,958</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8,428</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7,965</w:t>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end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r>
      <w:tr>
        <w:trPr/>
        <w:tc>
          <w:tcPr>
            <w:tcW w:w="1808" w:type="dxa"/>
            <w:tcBorders>
              <w:start w:val="single" w:sz="12" w:space="0" w:color="000000"/>
            </w:tcBorders>
            <w:shd w:fill="C0C0C0" w:val="clear"/>
          </w:tcPr>
          <w:p>
            <w:pPr>
              <w:pStyle w:val="Normal"/>
              <w:tabs>
                <w:tab w:val="clear" w:pos="540"/>
              </w:tabs>
              <w:overflowPunct w:val="true"/>
              <w:snapToGrid w:val="false"/>
              <w:textAlignment w:val="auto"/>
              <w:rPr>
                <w:rFonts w:cs="Arial"/>
                <w:b/>
                <w:bCs/>
                <w:color w:val="000000"/>
                <w:sz w:val="15"/>
                <w:szCs w:val="15"/>
              </w:rPr>
            </w:pPr>
            <w:r>
              <w:rPr>
                <w:rFonts w:cs="Arial"/>
                <w:b/>
                <w:bCs/>
                <w:color w:val="000000"/>
                <w:sz w:val="15"/>
                <w:szCs w:val="15"/>
              </w:rPr>
            </w:r>
          </w:p>
        </w:tc>
        <w:tc>
          <w:tcPr>
            <w:tcW w:w="695" w:type="dxa"/>
            <w:tcBorders/>
            <w:shd w:fill="C0C0C0" w:val="clear"/>
          </w:tcPr>
          <w:p>
            <w:pPr>
              <w:pStyle w:val="Normal"/>
              <w:tabs>
                <w:tab w:val="clear" w:pos="540"/>
              </w:tabs>
              <w:overflowPunct w:val="true"/>
              <w:snapToGrid w:val="false"/>
              <w:textAlignment w:val="auto"/>
              <w:rPr>
                <w:rFonts w:cs="Arial"/>
                <w:b/>
                <w:bCs/>
                <w:color w:val="000080"/>
                <w:sz w:val="15"/>
                <w:szCs w:val="15"/>
              </w:rPr>
            </w:pPr>
            <w:r>
              <w:rPr>
                <w:rFonts w:cs="Arial"/>
                <w:b/>
                <w:bCs/>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end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r>
      <w:tr>
        <w:trPr/>
        <w:tc>
          <w:tcPr>
            <w:tcW w:w="1808" w:type="dxa"/>
            <w:tcBorders>
              <w:start w:val="single" w:sz="12" w:space="0" w:color="000000"/>
            </w:tcBorders>
            <w:shd w:fill="C0C0C0" w:val="clear"/>
          </w:tcPr>
          <w:p>
            <w:pPr>
              <w:pStyle w:val="Normal"/>
              <w:tabs>
                <w:tab w:val="clear" w:pos="540"/>
              </w:tabs>
              <w:overflowPunct w:val="true"/>
              <w:textAlignment w:val="auto"/>
              <w:rPr>
                <w:rFonts w:cs="Arial"/>
                <w:b/>
                <w:bCs/>
                <w:color w:val="000000"/>
                <w:sz w:val="15"/>
                <w:szCs w:val="15"/>
              </w:rPr>
            </w:pPr>
            <w:r>
              <w:rPr>
                <w:rFonts w:cs="Arial"/>
                <w:b/>
                <w:bCs/>
                <w:color w:val="000000"/>
                <w:sz w:val="15"/>
                <w:szCs w:val="15"/>
              </w:rPr>
              <w:t>Gulf Coast (PADD III) Production</w:t>
            </w:r>
          </w:p>
        </w:tc>
        <w:tc>
          <w:tcPr>
            <w:tcW w:w="695" w:type="dxa"/>
            <w:tcBorders/>
            <w:shd w:fill="C0C0C0" w:val="clear"/>
          </w:tcPr>
          <w:p>
            <w:pPr>
              <w:pStyle w:val="Normal"/>
              <w:tabs>
                <w:tab w:val="clear" w:pos="540"/>
              </w:tabs>
              <w:overflowPunct w:val="true"/>
              <w:snapToGrid w:val="false"/>
              <w:textAlignment w:val="auto"/>
              <w:rPr>
                <w:rFonts w:cs="Arial"/>
                <w:b/>
                <w:bCs/>
                <w:color w:val="000080"/>
                <w:sz w:val="15"/>
                <w:szCs w:val="15"/>
              </w:rPr>
            </w:pPr>
            <w:r>
              <w:rPr>
                <w:rFonts w:cs="Arial"/>
                <w:b/>
                <w:bCs/>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end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r>
      <w:tr>
        <w:trPr/>
        <w:tc>
          <w:tcPr>
            <w:tcW w:w="1808" w:type="dxa"/>
            <w:tcBorders>
              <w:start w:val="single" w:sz="12" w:space="0" w:color="000000"/>
            </w:tcBorders>
            <w:shd w:fill="C0C0C0" w:val="clear"/>
          </w:tcPr>
          <w:p>
            <w:pPr>
              <w:pStyle w:val="Normal"/>
              <w:tabs>
                <w:tab w:val="clear" w:pos="540"/>
              </w:tabs>
              <w:overflowPunct w:val="true"/>
              <w:textAlignment w:val="auto"/>
              <w:rPr>
                <w:rFonts w:cs="Arial"/>
                <w:b/>
                <w:bCs/>
                <w:color w:val="000000"/>
                <w:sz w:val="15"/>
                <w:szCs w:val="15"/>
              </w:rPr>
            </w:pPr>
            <w:r>
              <w:rPr>
                <w:rFonts w:cs="Arial"/>
                <w:b/>
                <w:bCs/>
                <w:color w:val="000000"/>
                <w:sz w:val="15"/>
                <w:szCs w:val="15"/>
              </w:rPr>
              <w:t>2000</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178</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182</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192</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197</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204</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212</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195</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199</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185</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191</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171</w:t>
            </w:r>
          </w:p>
        </w:tc>
        <w:tc>
          <w:tcPr>
            <w:tcW w:w="696" w:type="dxa"/>
            <w:tcBorders>
              <w:end w:val="single" w:sz="12" w:space="0" w:color="000000"/>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139</w:t>
            </w:r>
          </w:p>
        </w:tc>
      </w:tr>
      <w:tr>
        <w:trPr/>
        <w:tc>
          <w:tcPr>
            <w:tcW w:w="1808" w:type="dxa"/>
            <w:tcBorders>
              <w:start w:val="single" w:sz="12" w:space="0" w:color="000000"/>
            </w:tcBorders>
            <w:shd w:fill="C0C0C0" w:val="clear"/>
          </w:tcPr>
          <w:p>
            <w:pPr>
              <w:pStyle w:val="Normal"/>
              <w:tabs>
                <w:tab w:val="clear" w:pos="540"/>
              </w:tabs>
              <w:overflowPunct w:val="true"/>
              <w:textAlignment w:val="auto"/>
              <w:rPr>
                <w:rFonts w:cs="Arial"/>
                <w:b/>
                <w:bCs/>
                <w:color w:val="000000"/>
                <w:sz w:val="15"/>
                <w:szCs w:val="15"/>
              </w:rPr>
            </w:pPr>
            <w:r>
              <w:rPr>
                <w:rFonts w:cs="Arial"/>
                <w:b/>
                <w:bCs/>
                <w:color w:val="000000"/>
                <w:sz w:val="15"/>
                <w:szCs w:val="15"/>
              </w:rPr>
              <w:t>2001</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122</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165</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179</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198</w:t>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end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r>
      <w:tr>
        <w:trPr/>
        <w:tc>
          <w:tcPr>
            <w:tcW w:w="1808" w:type="dxa"/>
            <w:tcBorders>
              <w:start w:val="single" w:sz="12" w:space="0" w:color="000000"/>
            </w:tcBorders>
            <w:shd w:fill="C0C0C0" w:val="clear"/>
          </w:tcPr>
          <w:p>
            <w:pPr>
              <w:pStyle w:val="Normal"/>
              <w:tabs>
                <w:tab w:val="clear" w:pos="540"/>
              </w:tabs>
              <w:overflowPunct w:val="true"/>
              <w:snapToGrid w:val="false"/>
              <w:textAlignment w:val="auto"/>
              <w:rPr>
                <w:rFonts w:cs="Arial"/>
                <w:b/>
                <w:bCs/>
                <w:color w:val="000000"/>
                <w:sz w:val="15"/>
                <w:szCs w:val="15"/>
              </w:rPr>
            </w:pPr>
            <w:r>
              <w:rPr>
                <w:rFonts w:cs="Arial"/>
                <w:b/>
                <w:bCs/>
                <w:color w:val="000000"/>
                <w:sz w:val="15"/>
                <w:szCs w:val="15"/>
              </w:rPr>
            </w:r>
          </w:p>
        </w:tc>
        <w:tc>
          <w:tcPr>
            <w:tcW w:w="695" w:type="dxa"/>
            <w:tcBorders/>
            <w:shd w:fill="C0C0C0" w:val="clear"/>
          </w:tcPr>
          <w:p>
            <w:pPr>
              <w:pStyle w:val="Normal"/>
              <w:tabs>
                <w:tab w:val="clear" w:pos="540"/>
              </w:tabs>
              <w:overflowPunct w:val="true"/>
              <w:snapToGrid w:val="false"/>
              <w:textAlignment w:val="auto"/>
              <w:rPr>
                <w:rFonts w:cs="Arial"/>
                <w:b/>
                <w:bCs/>
                <w:color w:val="000080"/>
                <w:sz w:val="15"/>
                <w:szCs w:val="15"/>
              </w:rPr>
            </w:pPr>
            <w:r>
              <w:rPr>
                <w:rFonts w:cs="Arial"/>
                <w:b/>
                <w:bCs/>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end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r>
      <w:tr>
        <w:trPr/>
        <w:tc>
          <w:tcPr>
            <w:tcW w:w="1808" w:type="dxa"/>
            <w:tcBorders>
              <w:start w:val="single" w:sz="12" w:space="0" w:color="000000"/>
            </w:tcBorders>
            <w:shd w:fill="C0C0C0" w:val="clear"/>
          </w:tcPr>
          <w:p>
            <w:pPr>
              <w:pStyle w:val="Normal"/>
              <w:tabs>
                <w:tab w:val="clear" w:pos="540"/>
              </w:tabs>
              <w:overflowPunct w:val="true"/>
              <w:textAlignment w:val="auto"/>
              <w:rPr>
                <w:rFonts w:cs="Arial"/>
                <w:b/>
                <w:bCs/>
                <w:color w:val="000000"/>
                <w:sz w:val="15"/>
                <w:szCs w:val="15"/>
              </w:rPr>
            </w:pPr>
            <w:r>
              <w:rPr>
                <w:rFonts w:cs="Arial"/>
                <w:b/>
                <w:bCs/>
                <w:color w:val="000000"/>
                <w:sz w:val="15"/>
                <w:szCs w:val="15"/>
              </w:rPr>
              <w:t>Stocks (thous. bbls.)</w:t>
            </w:r>
          </w:p>
        </w:tc>
        <w:tc>
          <w:tcPr>
            <w:tcW w:w="695" w:type="dxa"/>
            <w:tcBorders/>
            <w:shd w:fill="C0C0C0" w:val="clear"/>
          </w:tcPr>
          <w:p>
            <w:pPr>
              <w:pStyle w:val="Normal"/>
              <w:tabs>
                <w:tab w:val="clear" w:pos="540"/>
              </w:tabs>
              <w:overflowPunct w:val="true"/>
              <w:snapToGrid w:val="false"/>
              <w:textAlignment w:val="auto"/>
              <w:rPr>
                <w:rFonts w:cs="Arial"/>
                <w:b/>
                <w:bCs/>
                <w:color w:val="000080"/>
                <w:sz w:val="15"/>
                <w:szCs w:val="15"/>
              </w:rPr>
            </w:pPr>
            <w:r>
              <w:rPr>
                <w:rFonts w:cs="Arial"/>
                <w:b/>
                <w:bCs/>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end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r>
      <w:tr>
        <w:trPr/>
        <w:tc>
          <w:tcPr>
            <w:tcW w:w="1808" w:type="dxa"/>
            <w:tcBorders>
              <w:start w:val="single" w:sz="12" w:space="0" w:color="000000"/>
            </w:tcBorders>
            <w:shd w:fill="C0C0C0" w:val="clear"/>
          </w:tcPr>
          <w:p>
            <w:pPr>
              <w:pStyle w:val="Normal"/>
              <w:tabs>
                <w:tab w:val="clear" w:pos="540"/>
              </w:tabs>
              <w:overflowPunct w:val="true"/>
              <w:textAlignment w:val="auto"/>
              <w:rPr>
                <w:rFonts w:cs="Arial"/>
                <w:b/>
                <w:bCs/>
                <w:color w:val="000000"/>
                <w:sz w:val="15"/>
                <w:szCs w:val="15"/>
              </w:rPr>
            </w:pPr>
            <w:r>
              <w:rPr>
                <w:rFonts w:cs="Arial"/>
                <w:b/>
                <w:bCs/>
                <w:color w:val="000000"/>
                <w:sz w:val="15"/>
                <w:szCs w:val="15"/>
              </w:rPr>
              <w:t>2000</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4,223</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4,881</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4,137</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3,577</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3,529</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3,586</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3,728</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4,315</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3,867</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4,762</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4,905</w:t>
            </w:r>
          </w:p>
        </w:tc>
        <w:tc>
          <w:tcPr>
            <w:tcW w:w="696" w:type="dxa"/>
            <w:tcBorders>
              <w:end w:val="single" w:sz="12" w:space="0" w:color="000000"/>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3,880</w:t>
            </w:r>
          </w:p>
        </w:tc>
      </w:tr>
      <w:tr>
        <w:trPr/>
        <w:tc>
          <w:tcPr>
            <w:tcW w:w="1808" w:type="dxa"/>
            <w:tcBorders>
              <w:start w:val="single" w:sz="12" w:space="0" w:color="000000"/>
            </w:tcBorders>
            <w:shd w:fill="C0C0C0" w:val="clear"/>
          </w:tcPr>
          <w:p>
            <w:pPr>
              <w:pStyle w:val="Normal"/>
              <w:tabs>
                <w:tab w:val="clear" w:pos="540"/>
              </w:tabs>
              <w:overflowPunct w:val="true"/>
              <w:textAlignment w:val="auto"/>
              <w:rPr>
                <w:rFonts w:cs="Arial"/>
                <w:b/>
                <w:bCs/>
                <w:color w:val="000000"/>
                <w:sz w:val="15"/>
                <w:szCs w:val="15"/>
              </w:rPr>
            </w:pPr>
            <w:r>
              <w:rPr>
                <w:rFonts w:cs="Arial"/>
                <w:b/>
                <w:bCs/>
                <w:color w:val="000000"/>
                <w:sz w:val="15"/>
                <w:szCs w:val="15"/>
              </w:rPr>
              <w:t>2001</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3,564</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3,590</w:t>
            </w:r>
          </w:p>
        </w:tc>
        <w:tc>
          <w:tcPr>
            <w:tcW w:w="696"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4,574</w:t>
            </w:r>
          </w:p>
        </w:tc>
        <w:tc>
          <w:tcPr>
            <w:tcW w:w="695" w:type="dxa"/>
            <w:tcBorders/>
            <w:shd w:fill="C0C0C0" w:val="clear"/>
          </w:tcPr>
          <w:p>
            <w:pPr>
              <w:pStyle w:val="Normal"/>
              <w:tabs>
                <w:tab w:val="clear" w:pos="540"/>
              </w:tabs>
              <w:overflowPunct w:val="true"/>
              <w:textAlignment w:val="auto"/>
              <w:rPr>
                <w:rFonts w:cs="Arial"/>
                <w:color w:val="000080"/>
                <w:sz w:val="15"/>
                <w:szCs w:val="15"/>
              </w:rPr>
            </w:pPr>
            <w:r>
              <w:rPr>
                <w:rFonts w:cs="Arial"/>
                <w:color w:val="000080"/>
                <w:sz w:val="15"/>
                <w:szCs w:val="15"/>
              </w:rPr>
              <w:t>4,028</w:t>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end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r>
      <w:tr>
        <w:trPr/>
        <w:tc>
          <w:tcPr>
            <w:tcW w:w="1808" w:type="dxa"/>
            <w:tcBorders>
              <w:start w:val="single" w:sz="12" w:space="0" w:color="000000"/>
              <w:bottom w:val="single" w:sz="12" w:space="0" w:color="000000"/>
            </w:tcBorders>
            <w:shd w:fill="C0C0C0" w:val="clear"/>
          </w:tcPr>
          <w:p>
            <w:pPr>
              <w:pStyle w:val="Normal"/>
              <w:tabs>
                <w:tab w:val="clear" w:pos="540"/>
              </w:tabs>
              <w:overflowPunct w:val="true"/>
              <w:snapToGrid w:val="false"/>
              <w:textAlignment w:val="auto"/>
              <w:rPr>
                <w:rFonts w:cs="Arial"/>
                <w:b/>
                <w:bCs/>
                <w:color w:val="000000"/>
                <w:sz w:val="15"/>
                <w:szCs w:val="15"/>
              </w:rPr>
            </w:pPr>
            <w:r>
              <w:rPr>
                <w:rFonts w:cs="Arial"/>
                <w:b/>
                <w:bCs/>
                <w:color w:val="000000"/>
                <w:sz w:val="15"/>
                <w:szCs w:val="15"/>
              </w:rPr>
            </w:r>
          </w:p>
        </w:tc>
        <w:tc>
          <w:tcPr>
            <w:tcW w:w="695" w:type="dxa"/>
            <w:tcBorders>
              <w:bottom w:val="single" w:sz="12" w:space="0" w:color="000000"/>
            </w:tcBorders>
            <w:shd w:fill="C0C0C0" w:val="clear"/>
          </w:tcPr>
          <w:p>
            <w:pPr>
              <w:pStyle w:val="Normal"/>
              <w:tabs>
                <w:tab w:val="clear" w:pos="540"/>
              </w:tabs>
              <w:overflowPunct w:val="true"/>
              <w:snapToGrid w:val="false"/>
              <w:textAlignment w:val="auto"/>
              <w:rPr>
                <w:rFonts w:cs="Arial"/>
                <w:b/>
                <w:bCs/>
                <w:color w:val="000080"/>
                <w:sz w:val="15"/>
                <w:szCs w:val="15"/>
              </w:rPr>
            </w:pPr>
            <w:r>
              <w:rPr>
                <w:rFonts w:cs="Arial"/>
                <w:b/>
                <w:bCs/>
                <w:color w:val="000080"/>
                <w:sz w:val="15"/>
                <w:szCs w:val="15"/>
              </w:rPr>
            </w:r>
          </w:p>
        </w:tc>
        <w:tc>
          <w:tcPr>
            <w:tcW w:w="695" w:type="dxa"/>
            <w:tcBorders>
              <w:bottom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bottom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bottom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bottom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bottom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bottom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bottom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bottom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bottom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5" w:type="dxa"/>
            <w:tcBorders>
              <w:bottom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c>
          <w:tcPr>
            <w:tcW w:w="696" w:type="dxa"/>
            <w:tcBorders>
              <w:bottom w:val="single" w:sz="12" w:space="0" w:color="000000"/>
              <w:end w:val="single" w:sz="12" w:space="0" w:color="000000"/>
            </w:tcBorders>
            <w:shd w:fill="C0C0C0" w:val="clear"/>
          </w:tcPr>
          <w:p>
            <w:pPr>
              <w:pStyle w:val="Normal"/>
              <w:tabs>
                <w:tab w:val="clear" w:pos="540"/>
              </w:tabs>
              <w:overflowPunct w:val="true"/>
              <w:snapToGrid w:val="false"/>
              <w:textAlignment w:val="auto"/>
              <w:rPr>
                <w:rFonts w:cs="Arial"/>
                <w:color w:val="000080"/>
                <w:sz w:val="15"/>
                <w:szCs w:val="15"/>
              </w:rPr>
            </w:pPr>
            <w:r>
              <w:rPr>
                <w:rFonts w:cs="Arial"/>
                <w:color w:val="000080"/>
                <w:sz w:val="15"/>
                <w:szCs w:val="15"/>
              </w:rPr>
            </w:r>
          </w:p>
        </w:tc>
      </w:tr>
    </w:tbl>
    <w:p>
      <w:pPr>
        <w:pStyle w:val="Normal"/>
        <w:tabs>
          <w:tab w:val="clear" w:pos="540"/>
        </w:tabs>
        <w:overflowPunct w:val="true"/>
        <w:textAlignment w:val="auto"/>
        <w:rPr>
          <w:rFonts w:cs="Arial"/>
          <w:sz w:val="15"/>
          <w:szCs w:val="15"/>
        </w:rPr>
      </w:pPr>
      <w:r>
        <w:rPr>
          <w:rFonts w:cs="Arial"/>
          <w:sz w:val="15"/>
          <w:szCs w:val="15"/>
        </w:rPr>
      </w:r>
    </w:p>
    <w:p>
      <w:pPr>
        <w:pStyle w:val="Normal"/>
        <w:tabs>
          <w:tab w:val="clear" w:pos="540"/>
        </w:tabs>
        <w:overflowPunct w:val="true"/>
        <w:textAlignment w:val="auto"/>
        <w:rPr>
          <w:rFonts w:cs="Arial"/>
          <w:sz w:val="15"/>
          <w:szCs w:val="15"/>
        </w:rPr>
      </w:pPr>
      <w:r>
        <w:rPr>
          <w:rFonts w:cs="Arial"/>
          <w:sz w:val="15"/>
          <w:szCs w:val="15"/>
        </w:rPr>
        <w:t>See Exhibit A: Energy Information Administration (EIA) Form EIA-819M, “Monthly Oxygenate Telephone Report. ”</w:t>
      </w:r>
    </w:p>
    <w:p>
      <w:pPr>
        <w:pStyle w:val="Normal"/>
        <w:tabs>
          <w:tab w:val="clear" w:pos="540"/>
        </w:tabs>
        <w:overflowPunct w:val="true"/>
        <w:textAlignment w:val="auto"/>
        <w:rPr>
          <w:rFonts w:cs="Arial"/>
          <w:sz w:val="15"/>
          <w:szCs w:val="15"/>
        </w:rPr>
      </w:pPr>
      <w:r>
        <w:rPr>
          <w:rFonts w:cs="Arial"/>
          <w:sz w:val="15"/>
          <w:szCs w:val="15"/>
        </w:rPr>
      </w:r>
    </w:p>
    <w:p>
      <w:pPr>
        <w:pStyle w:val="Body"/>
        <w:ind w:start="0" w:end="0"/>
        <w:rPr/>
      </w:pPr>
      <w:r>
        <w:rPr/>
        <w:t xml:space="preserve">The Gulf Coast represented 87% and 88% of the nationwide production of MTBE for 2001 through April and 2000, respectively.  The production from Enron’s MTBE plant represents approximately 8-12% of the Gulf Coast production. </w:t>
      </w:r>
    </w:p>
    <w:p>
      <w:pPr>
        <w:pStyle w:val="Body"/>
        <w:rPr/>
      </w:pPr>
      <w:r>
        <w:rPr/>
      </w:r>
    </w:p>
    <w:p>
      <w:pPr>
        <w:pStyle w:val="Body"/>
        <w:rPr>
          <w:b/>
          <w:bCs/>
          <w:u w:val="single"/>
        </w:rPr>
      </w:pPr>
      <w:r>
        <w:rPr>
          <w:b/>
          <w:bCs/>
          <w:u w:val="single"/>
        </w:rPr>
        <w:t>Issues:</w:t>
      </w:r>
    </w:p>
    <w:p>
      <w:pPr>
        <w:pStyle w:val="Body"/>
        <w:rPr>
          <w:b/>
          <w:bCs/>
          <w:u w:val="single"/>
        </w:rPr>
      </w:pPr>
      <w:r>
        <w:rPr>
          <w:b/>
          <w:bCs/>
          <w:u w:val="single"/>
        </w:rPr>
      </w:r>
    </w:p>
    <w:p>
      <w:pPr>
        <w:pStyle w:val="Body"/>
        <w:numPr>
          <w:ilvl w:val="0"/>
          <w:numId w:val="2"/>
        </w:numPr>
        <w:rPr/>
      </w:pPr>
      <w:r>
        <w:rPr/>
        <w:t>How should the sale of the Mont Belvieu Storage Facility from the synthetic lease structure be accounted for?</w:t>
      </w:r>
    </w:p>
    <w:p>
      <w:pPr>
        <w:pStyle w:val="Body"/>
        <w:numPr>
          <w:ilvl w:val="0"/>
          <w:numId w:val="2"/>
        </w:numPr>
        <w:rPr/>
      </w:pPr>
      <w:r>
        <w:rPr/>
        <w:t>Does the sale of the facilities by EGP Fuels to EOTT qualify for derecognition of an asset under the real estate accounting rules?</w:t>
      </w:r>
    </w:p>
    <w:p>
      <w:pPr>
        <w:pStyle w:val="Body"/>
        <w:numPr>
          <w:ilvl w:val="0"/>
          <w:numId w:val="2"/>
        </w:numPr>
        <w:rPr/>
      </w:pPr>
      <w:r>
        <w:rPr/>
        <w:t>Does the EGM Toll Conversion Agreement qualify for MTM accounting?</w:t>
      </w:r>
    </w:p>
    <w:p>
      <w:pPr>
        <w:pStyle w:val="Body"/>
        <w:numPr>
          <w:ilvl w:val="0"/>
          <w:numId w:val="2"/>
        </w:numPr>
        <w:rPr/>
      </w:pPr>
      <w:r>
        <w:rPr/>
        <w:t>Does the EGM Storage Capacity Agreement qualify for MTM accounting?</w:t>
      </w:r>
    </w:p>
    <w:p>
      <w:pPr>
        <w:pStyle w:val="Body"/>
        <w:ind w:start="432" w:end="0"/>
        <w:rPr/>
      </w:pPr>
      <w:r>
        <w:rPr/>
      </w:r>
    </w:p>
    <w:p>
      <w:pPr>
        <w:pStyle w:val="Body"/>
        <w:ind w:start="0" w:end="0"/>
        <w:rPr/>
      </w:pPr>
      <w:r>
        <w:rPr/>
      </w:r>
    </w:p>
    <w:p>
      <w:pPr>
        <w:pStyle w:val="Body"/>
        <w:rPr>
          <w:b/>
          <w:bCs/>
          <w:u w:val="single"/>
        </w:rPr>
      </w:pPr>
      <w:r>
        <w:rPr>
          <w:b/>
          <w:bCs/>
          <w:u w:val="single"/>
        </w:rPr>
        <w:t>Authoritative Literature</w:t>
      </w:r>
    </w:p>
    <w:p>
      <w:pPr>
        <w:pStyle w:val="Body"/>
        <w:rPr>
          <w:b/>
          <w:bCs/>
          <w:u w:val="single"/>
        </w:rPr>
      </w:pPr>
      <w:r>
        <w:rPr>
          <w:b/>
          <w:bCs/>
          <w:u w:val="single"/>
        </w:rPr>
      </w:r>
    </w:p>
    <w:p>
      <w:pPr>
        <w:pStyle w:val="Body"/>
        <w:rPr/>
      </w:pPr>
      <w:r>
        <w:rPr>
          <w:b/>
          <w:bCs/>
        </w:rPr>
        <w:t xml:space="preserve">SFAS 66, </w:t>
      </w:r>
      <w:r>
        <w:rPr/>
        <w:t>“Accounting for Sales of Real Estate”</w:t>
      </w:r>
    </w:p>
    <w:p>
      <w:pPr>
        <w:pStyle w:val="Body"/>
        <w:rPr/>
      </w:pPr>
      <w:r>
        <w:rPr>
          <w:b/>
          <w:bCs/>
        </w:rPr>
        <w:t xml:space="preserve">FIN 43, </w:t>
      </w:r>
      <w:r>
        <w:rPr/>
        <w:t>“Real Estate Sales, an Interpretation of FASB Statement No.66”</w:t>
      </w:r>
    </w:p>
    <w:p>
      <w:pPr>
        <w:pStyle w:val="Body"/>
        <w:rPr/>
      </w:pPr>
      <w:r>
        <w:rPr>
          <w:b/>
          <w:bCs/>
        </w:rPr>
        <w:t xml:space="preserve">FAS 13, </w:t>
      </w:r>
      <w:r>
        <w:rPr/>
        <w:t>“Accounting for Leases”</w:t>
      </w:r>
    </w:p>
    <w:p>
      <w:pPr>
        <w:pStyle w:val="Body"/>
        <w:rPr/>
      </w:pPr>
      <w:r>
        <w:rPr>
          <w:b/>
          <w:bCs/>
        </w:rPr>
        <w:t xml:space="preserve">SFAS 133, </w:t>
      </w:r>
      <w:r>
        <w:rPr/>
        <w:t>“Accounting for Derivates”</w:t>
      </w:r>
    </w:p>
    <w:p>
      <w:pPr>
        <w:pStyle w:val="Body"/>
        <w:rPr/>
      </w:pPr>
      <w:r>
        <w:rPr>
          <w:b/>
          <w:bCs/>
        </w:rPr>
        <w:t xml:space="preserve">SFAS 138, </w:t>
      </w:r>
      <w:r>
        <w:rPr/>
        <w:t>“Accounting for Certain Derivative Instruments and Certain Hedging Activities”</w:t>
      </w:r>
    </w:p>
    <w:p>
      <w:pPr>
        <w:pStyle w:val="Body"/>
        <w:rPr/>
      </w:pPr>
      <w:r>
        <w:rPr>
          <w:b/>
          <w:bCs/>
        </w:rPr>
        <w:t xml:space="preserve">EITF 98-10, </w:t>
      </w:r>
      <w:r>
        <w:rPr/>
        <w:t>“Accounting for Contracts Involved in Energy Trading and Risk Management Activities”</w:t>
      </w:r>
    </w:p>
    <w:p>
      <w:pPr>
        <w:pStyle w:val="Body"/>
        <w:rPr/>
      </w:pPr>
      <w:r>
        <w:rPr>
          <w:b/>
          <w:bCs/>
        </w:rPr>
        <w:t xml:space="preserve">APB No. 16, </w:t>
      </w:r>
      <w:r>
        <w:rPr/>
        <w:t>“Accounting for Business Combinations”</w:t>
      </w:r>
    </w:p>
    <w:p>
      <w:pPr>
        <w:pStyle w:val="Body"/>
        <w:rPr/>
      </w:pPr>
      <w:r>
        <w:rPr>
          <w:b/>
          <w:bCs/>
        </w:rPr>
        <w:t xml:space="preserve">Arthur Andersen, </w:t>
      </w:r>
      <w:r>
        <w:rPr>
          <w:u w:val="single"/>
        </w:rPr>
        <w:t>Accounting for Business Combinations, Interpretations of APB No. 16</w:t>
      </w:r>
    </w:p>
    <w:p>
      <w:pPr>
        <w:pStyle w:val="Body"/>
        <w:rPr>
          <w:u w:val="single"/>
        </w:rPr>
      </w:pPr>
      <w:r>
        <w:rPr>
          <w:b/>
          <w:bCs/>
        </w:rPr>
        <w:t xml:space="preserve">EITF 98-3, </w:t>
      </w:r>
      <w:r>
        <w:rPr/>
        <w:t>“Determining Whether a Nonmonetary Transaction Involves Receipt of Productive Assets or of a Business”</w:t>
      </w:r>
    </w:p>
    <w:p>
      <w:pPr>
        <w:pStyle w:val="Body"/>
        <w:ind w:start="0" w:end="0"/>
        <w:rPr>
          <w:u w:val="single"/>
        </w:rPr>
      </w:pPr>
      <w:r>
        <w:rPr>
          <w:u w:val="single"/>
        </w:rPr>
      </w:r>
    </w:p>
    <w:p>
      <w:pPr>
        <w:pStyle w:val="Body"/>
        <w:ind w:start="90" w:end="0"/>
        <w:rPr>
          <w:b/>
          <w:bCs/>
          <w:u w:val="single"/>
        </w:rPr>
      </w:pPr>
      <w:r>
        <w:rPr>
          <w:b/>
          <w:bCs/>
          <w:u w:val="single"/>
        </w:rPr>
        <w:t>Discussion and Conclusions</w:t>
      </w:r>
    </w:p>
    <w:p>
      <w:pPr>
        <w:pStyle w:val="Body"/>
        <w:rPr>
          <w:b/>
          <w:bCs/>
          <w:u w:val="single"/>
        </w:rPr>
      </w:pPr>
      <w:r>
        <w:rPr>
          <w:b/>
          <w:bCs/>
          <w:u w:val="single"/>
        </w:rPr>
      </w:r>
    </w:p>
    <w:p>
      <w:pPr>
        <w:pStyle w:val="Body"/>
        <w:rPr>
          <w:u w:val="single"/>
        </w:rPr>
      </w:pPr>
      <w:r>
        <w:rPr>
          <w:u w:val="single"/>
        </w:rPr>
        <w:t>Issue 1:  How should the sale of the Mont Belvieu Storage Facility from the synthetic lease structure be accounted for?</w:t>
      </w:r>
    </w:p>
    <w:p>
      <w:pPr>
        <w:pStyle w:val="Body"/>
        <w:rPr>
          <w:u w:val="single"/>
        </w:rPr>
      </w:pPr>
      <w:r>
        <w:rPr>
          <w:u w:val="single"/>
        </w:rPr>
      </w:r>
    </w:p>
    <w:p>
      <w:pPr>
        <w:pStyle w:val="Body"/>
        <w:rPr/>
      </w:pPr>
      <w:r>
        <w:rPr/>
        <w:t>The synthetic lease structure agreements provide for the purchase of the assets by Enron at a specified price.  Under the agreement, Enron may direct State Street Bank (the lessor) to convey the property to a third party upon receipt of the strike price (approximately $36 million).  In order to avoid SFAS 66 issues, Enron will direct State Street Bank to convey the property directly to EOTT and EOTT will pay the strike price directly to State Street Bank.  Legal title to the property will transfer directly from State Street Bank to EOTT and Enron will not take title to the property at any time during the transaction.  Therefore, State Street Bank is the seller of the property and Enron will not be subject to the accounting rules prescribed under SFAS 66.</w:t>
      </w:r>
    </w:p>
    <w:p>
      <w:pPr>
        <w:pStyle w:val="Body"/>
        <w:rPr>
          <w:u w:val="single"/>
        </w:rPr>
      </w:pPr>
      <w:r>
        <w:rPr>
          <w:u w:val="single"/>
        </w:rPr>
      </w:r>
    </w:p>
    <w:p>
      <w:pPr>
        <w:pStyle w:val="Body"/>
        <w:rPr>
          <w:rFonts w:cs="Arial"/>
          <w:u w:val="single"/>
        </w:rPr>
      </w:pPr>
      <w:r>
        <w:rPr>
          <w:rFonts w:cs="Arial"/>
          <w:u w:val="single"/>
        </w:rPr>
        <w:t>Issue 2:  Does the sale of the facilities by EGP Fuels to EOTT qualify for derecognition of an asset under the real estate accounting rules?</w:t>
      </w:r>
    </w:p>
    <w:p>
      <w:pPr>
        <w:pStyle w:val="Body"/>
        <w:rPr>
          <w:rFonts w:cs="Arial"/>
          <w:u w:val="single"/>
        </w:rPr>
      </w:pPr>
      <w:r>
        <w:rPr>
          <w:rFonts w:cs="Arial"/>
          <w:u w:val="single"/>
        </w:rPr>
      </w:r>
    </w:p>
    <w:p>
      <w:pPr>
        <w:pStyle w:val="Body"/>
        <w:rPr>
          <w:rFonts w:cs="Arial"/>
        </w:rPr>
      </w:pPr>
      <w:r>
        <w:rPr>
          <w:rFonts w:cs="Arial"/>
        </w:rPr>
        <w:t xml:space="preserve">In accordance with FIN 43, SFAS 66 applies to all sales of real estate, including real estate with property improvements or integral equipment.  Integral equipment is defined as any physical structure or equipment attached to real estate that cannot be removed and used separately without incurring significant cost.  Under FIN 43, the MTBE plant would be considered real estate and SFAS 66 would apply to the sale of the plant.  SFAS 66 addresses when profit recognition on a sale of real estate is appropriate and when sale treatment itself is appropriate.  </w:t>
      </w:r>
    </w:p>
    <w:p>
      <w:pPr>
        <w:pStyle w:val="Body"/>
        <w:ind w:start="0" w:end="0"/>
        <w:rPr>
          <w:rFonts w:cs="Arial"/>
        </w:rPr>
      </w:pPr>
      <w:r>
        <w:rPr>
          <w:rFonts w:cs="Arial"/>
        </w:rPr>
      </w:r>
    </w:p>
    <w:p>
      <w:pPr>
        <w:pStyle w:val="Body"/>
        <w:rPr>
          <w:rFonts w:cs="Arial"/>
        </w:rPr>
      </w:pPr>
      <w:r>
        <w:rPr>
          <w:rFonts w:cs="Arial"/>
        </w:rPr>
        <w:t>Under SFAS 66, in order to use full accrual method accounting and recognize consummation of the sale of the MTBE Plant the following four criteria must be met:</w:t>
      </w:r>
    </w:p>
    <w:p>
      <w:pPr>
        <w:pStyle w:val="Body"/>
        <w:rPr>
          <w:rFonts w:cs="Arial"/>
        </w:rPr>
      </w:pPr>
      <w:r>
        <w:rPr>
          <w:rFonts w:cs="Arial"/>
        </w:rPr>
      </w:r>
    </w:p>
    <w:p>
      <w:pPr>
        <w:pStyle w:val="Body"/>
        <w:numPr>
          <w:ilvl w:val="0"/>
          <w:numId w:val="5"/>
        </w:numPr>
        <w:rPr>
          <w:rFonts w:cs="Arial"/>
        </w:rPr>
      </w:pPr>
      <w:r>
        <w:rPr>
          <w:rFonts w:cs="Arial"/>
        </w:rPr>
        <w:t>The sale must be consummated.</w:t>
      </w:r>
    </w:p>
    <w:p>
      <w:pPr>
        <w:pStyle w:val="Body"/>
        <w:numPr>
          <w:ilvl w:val="0"/>
          <w:numId w:val="5"/>
        </w:numPr>
        <w:rPr>
          <w:rFonts w:cs="Arial"/>
        </w:rPr>
      </w:pPr>
      <w:r>
        <w:rPr>
          <w:rFonts w:cs="Arial"/>
        </w:rPr>
        <w:t>The buyer’s initial and continuing investment must be adequate to demonstrate a commitment to pay for the property.</w:t>
      </w:r>
    </w:p>
    <w:p>
      <w:pPr>
        <w:pStyle w:val="Body"/>
        <w:numPr>
          <w:ilvl w:val="0"/>
          <w:numId w:val="5"/>
        </w:numPr>
        <w:rPr>
          <w:rFonts w:cs="Arial"/>
        </w:rPr>
      </w:pPr>
      <w:r>
        <w:rPr>
          <w:rFonts w:cs="Arial"/>
        </w:rPr>
        <w:t>In the event of a seller receivable, the receivable must not be subject to future subordination.</w:t>
      </w:r>
    </w:p>
    <w:p>
      <w:pPr>
        <w:pStyle w:val="Body"/>
        <w:numPr>
          <w:ilvl w:val="0"/>
          <w:numId w:val="5"/>
        </w:numPr>
        <w:rPr>
          <w:rFonts w:cs="Arial"/>
        </w:rPr>
      </w:pPr>
      <w:r>
        <w:rPr>
          <w:rFonts w:cs="Arial"/>
        </w:rPr>
        <w:t>The seller must transfer to the buyer the usual risks and rewards of ownership in a transaction that is in substance a sale and in which the seller does not have any substantial continuing involvement with the property.</w:t>
      </w:r>
    </w:p>
    <w:p>
      <w:pPr>
        <w:pStyle w:val="Body"/>
        <w:rPr>
          <w:rFonts w:cs="Arial"/>
        </w:rPr>
      </w:pPr>
      <w:r>
        <w:rPr>
          <w:rFonts w:cs="Arial"/>
        </w:rPr>
      </w:r>
    </w:p>
    <w:p>
      <w:pPr>
        <w:pStyle w:val="Body"/>
        <w:rPr>
          <w:rFonts w:cs="Arial"/>
          <w:i/>
          <w:i/>
          <w:iCs/>
        </w:rPr>
      </w:pPr>
      <w:r>
        <w:rPr>
          <w:rFonts w:cs="Arial"/>
          <w:i/>
          <w:iCs/>
        </w:rPr>
        <w:t>The Sale Must Be Consummated</w:t>
      </w:r>
    </w:p>
    <w:p>
      <w:pPr>
        <w:pStyle w:val="Body"/>
        <w:rPr>
          <w:rFonts w:cs="Arial"/>
          <w:i/>
          <w:i/>
          <w:iCs/>
        </w:rPr>
      </w:pPr>
      <w:r>
        <w:rPr>
          <w:rFonts w:cs="Arial"/>
          <w:i/>
          <w:iCs/>
        </w:rPr>
      </w:r>
    </w:p>
    <w:p>
      <w:pPr>
        <w:pStyle w:val="Body"/>
        <w:rPr>
          <w:rFonts w:cs="Arial"/>
        </w:rPr>
      </w:pPr>
      <w:r>
        <w:rPr>
          <w:rFonts w:cs="Arial"/>
        </w:rPr>
        <w:t>In order for the sale to be considered consummated, A) the parties must be bound by the terms of the contract, B) all consideration must have been exchanged, C) any seller responsible financing must have been arranged and D) all conditions precedent to closing must have been met.</w:t>
      </w:r>
    </w:p>
    <w:p>
      <w:pPr>
        <w:pStyle w:val="Body"/>
        <w:rPr>
          <w:rFonts w:cs="Arial"/>
        </w:rPr>
      </w:pPr>
      <w:r>
        <w:rPr>
          <w:rFonts w:cs="Arial"/>
        </w:rPr>
      </w:r>
    </w:p>
    <w:p>
      <w:pPr>
        <w:pStyle w:val="Body"/>
        <w:rPr>
          <w:rFonts w:cs="Arial"/>
        </w:rPr>
      </w:pPr>
      <w:r>
        <w:rPr>
          <w:rFonts w:cs="Arial"/>
        </w:rPr>
        <w:t>In the sale of the MTBE Plant ….</w:t>
      </w:r>
    </w:p>
    <w:p>
      <w:pPr>
        <w:pStyle w:val="Body"/>
        <w:rPr>
          <w:rFonts w:cs="Arial"/>
        </w:rPr>
      </w:pPr>
      <w:r>
        <w:rPr>
          <w:rFonts w:cs="Arial"/>
        </w:rPr>
      </w:r>
    </w:p>
    <w:p>
      <w:pPr>
        <w:pStyle w:val="Body"/>
        <w:numPr>
          <w:ilvl w:val="0"/>
          <w:numId w:val="3"/>
        </w:numPr>
        <w:rPr>
          <w:rFonts w:cs="Arial"/>
        </w:rPr>
      </w:pPr>
      <w:r>
        <w:rPr>
          <w:rFonts w:cs="Arial"/>
        </w:rPr>
        <w:t>Both EOTT Energy Partners L.P. (EOTT) and EGP will be contractually bound by the Purchase and Sale Agreement</w:t>
      </w:r>
    </w:p>
    <w:p>
      <w:pPr>
        <w:pStyle w:val="Body"/>
        <w:numPr>
          <w:ilvl w:val="0"/>
          <w:numId w:val="3"/>
        </w:numPr>
        <w:rPr>
          <w:rFonts w:cs="Arial"/>
        </w:rPr>
      </w:pPr>
      <w:r>
        <w:rPr>
          <w:rFonts w:cs="Arial"/>
        </w:rPr>
        <w:t>EOTT will have remitted the entire purchase price to EGP in cash upon closing.</w:t>
      </w:r>
    </w:p>
    <w:p>
      <w:pPr>
        <w:pStyle w:val="Body"/>
        <w:numPr>
          <w:ilvl w:val="0"/>
          <w:numId w:val="3"/>
        </w:numPr>
        <w:rPr>
          <w:rFonts w:cs="Arial"/>
        </w:rPr>
      </w:pPr>
      <w:r>
        <w:rPr>
          <w:rFonts w:cs="Arial"/>
        </w:rPr>
        <w:t>The seller is not reponsible to arrange financing, however, EOTT may decide to draw down on the working capital line of credit already committed by Enron.</w:t>
      </w:r>
    </w:p>
    <w:p>
      <w:pPr>
        <w:pStyle w:val="Body"/>
        <w:numPr>
          <w:ilvl w:val="0"/>
          <w:numId w:val="3"/>
        </w:numPr>
        <w:rPr>
          <w:rFonts w:cs="Arial"/>
        </w:rPr>
      </w:pPr>
      <w:r>
        <w:rPr>
          <w:rFonts w:cs="Arial"/>
        </w:rPr>
        <w:t>All conditions precedent to closing will have been met:</w:t>
      </w:r>
    </w:p>
    <w:p>
      <w:pPr>
        <w:pStyle w:val="Body"/>
        <w:ind w:start="1080" w:end="0"/>
        <w:rPr>
          <w:rFonts w:cs="Arial"/>
        </w:rPr>
      </w:pPr>
      <w:r>
        <w:rPr>
          <w:rFonts w:cs="Arial"/>
        </w:rPr>
        <w:t>HSR Premerger Notification</w:t>
      </w:r>
    </w:p>
    <w:p>
      <w:pPr>
        <w:pStyle w:val="Body"/>
        <w:ind w:start="1080" w:end="0"/>
        <w:rPr>
          <w:rFonts w:cs="Arial"/>
        </w:rPr>
      </w:pPr>
      <w:r>
        <w:rPr>
          <w:rFonts w:cs="Arial"/>
        </w:rPr>
        <w:t>Fairness Opinion</w:t>
      </w:r>
    </w:p>
    <w:p>
      <w:pPr>
        <w:pStyle w:val="Body"/>
        <w:ind w:start="1080" w:end="0"/>
        <w:rPr>
          <w:rFonts w:cs="Arial"/>
        </w:rPr>
      </w:pPr>
      <w:r>
        <w:rPr>
          <w:rFonts w:cs="Arial"/>
        </w:rPr>
      </w:r>
    </w:p>
    <w:p>
      <w:pPr>
        <w:pStyle w:val="Body"/>
        <w:ind w:start="90" w:end="0"/>
        <w:rPr>
          <w:rFonts w:cs="Arial"/>
        </w:rPr>
      </w:pPr>
      <w:r>
        <w:rPr>
          <w:rFonts w:cs="Arial"/>
        </w:rPr>
        <w:t>Based on the facts above, the sale will be consummated at closing.</w:t>
      </w:r>
    </w:p>
    <w:p>
      <w:pPr>
        <w:pStyle w:val="Body"/>
        <w:rPr>
          <w:rFonts w:cs="Arial"/>
          <w:b/>
          <w:bCs/>
          <w:i/>
          <w:i/>
          <w:iCs/>
        </w:rPr>
      </w:pPr>
      <w:r>
        <w:rPr>
          <w:rFonts w:cs="Arial"/>
          <w:b/>
          <w:bCs/>
          <w:i/>
          <w:iCs/>
        </w:rPr>
      </w:r>
    </w:p>
    <w:p>
      <w:pPr>
        <w:pStyle w:val="Body"/>
        <w:rPr>
          <w:rFonts w:cs="Arial"/>
          <w:b/>
          <w:bCs/>
          <w:i/>
          <w:i/>
          <w:iCs/>
        </w:rPr>
      </w:pPr>
      <w:r>
        <w:rPr>
          <w:rFonts w:cs="Arial"/>
          <w:b/>
          <w:bCs/>
          <w:i/>
          <w:iCs/>
        </w:rPr>
      </w:r>
    </w:p>
    <w:p>
      <w:pPr>
        <w:pStyle w:val="Body"/>
        <w:rPr>
          <w:rFonts w:cs="Arial"/>
          <w:i/>
          <w:i/>
          <w:iCs/>
        </w:rPr>
      </w:pPr>
      <w:r>
        <w:rPr>
          <w:rFonts w:cs="Arial"/>
          <w:i/>
          <w:iCs/>
        </w:rPr>
        <w:t>The Buyer’s Initial and Continuing Investment</w:t>
      </w:r>
    </w:p>
    <w:p>
      <w:pPr>
        <w:pStyle w:val="Body"/>
        <w:rPr>
          <w:rFonts w:cs="Arial"/>
          <w:i/>
          <w:i/>
          <w:iCs/>
        </w:rPr>
      </w:pPr>
      <w:r>
        <w:rPr>
          <w:rFonts w:cs="Arial"/>
          <w:i/>
          <w:iCs/>
        </w:rPr>
      </w:r>
    </w:p>
    <w:p>
      <w:pPr>
        <w:pStyle w:val="Body"/>
        <w:rPr>
          <w:rFonts w:cs="Arial"/>
        </w:rPr>
      </w:pPr>
      <w:r>
        <w:rPr>
          <w:rFonts w:cs="Arial"/>
        </w:rPr>
        <w:t>The adequacy of the buyer’s initial investment is measured by its composition and its size relative to the sales value of the property and must be adequate to demonstrate the buyer’s commitment to pay for the property.</w:t>
      </w:r>
    </w:p>
    <w:p>
      <w:pPr>
        <w:pStyle w:val="Body"/>
        <w:ind w:start="0" w:end="0"/>
        <w:rPr>
          <w:rFonts w:cs="Arial"/>
        </w:rPr>
      </w:pPr>
      <w:r>
        <w:rPr>
          <w:rFonts w:cs="Arial"/>
        </w:rPr>
      </w:r>
    </w:p>
    <w:p>
      <w:pPr>
        <w:pStyle w:val="Body"/>
        <w:ind w:start="90" w:end="0"/>
        <w:rPr>
          <w:rFonts w:cs="Arial"/>
        </w:rPr>
      </w:pPr>
      <w:r>
        <w:rPr>
          <w:rFonts w:cs="Arial"/>
        </w:rPr>
        <w:t>If EOTT draws down on the Enron working capital line of credit to obtain the funds to purchase the property, then they would not be deemed to have made an adequate initial or continuing investment until the money was repaid sufficient to meet this criteria.</w:t>
      </w:r>
    </w:p>
    <w:p>
      <w:pPr>
        <w:pStyle w:val="Body"/>
        <w:ind w:start="90" w:end="0"/>
        <w:rPr>
          <w:rFonts w:cs="Arial"/>
        </w:rPr>
      </w:pPr>
      <w:r>
        <w:rPr>
          <w:rFonts w:cs="Arial"/>
        </w:rPr>
      </w:r>
    </w:p>
    <w:p>
      <w:pPr>
        <w:pStyle w:val="Body"/>
        <w:rPr>
          <w:rFonts w:cs="Arial"/>
          <w:i/>
          <w:i/>
          <w:iCs/>
        </w:rPr>
      </w:pPr>
      <w:r>
        <w:rPr>
          <w:rFonts w:cs="Arial"/>
          <w:i/>
          <w:iCs/>
        </w:rPr>
        <w:t>Seller Receivable</w:t>
      </w:r>
    </w:p>
    <w:p>
      <w:pPr>
        <w:pStyle w:val="Body"/>
        <w:rPr>
          <w:rFonts w:cs="Arial"/>
          <w:i/>
          <w:i/>
          <w:iCs/>
        </w:rPr>
      </w:pPr>
      <w:r>
        <w:rPr>
          <w:rFonts w:cs="Arial"/>
          <w:i/>
          <w:iCs/>
        </w:rPr>
      </w:r>
    </w:p>
    <w:p>
      <w:pPr>
        <w:pStyle w:val="Body"/>
        <w:rPr>
          <w:rFonts w:cs="Arial"/>
        </w:rPr>
      </w:pPr>
      <w:r>
        <w:rPr>
          <w:rFonts w:cs="Arial"/>
        </w:rPr>
        <w:t>Per FAS 66, the Seller’s receivable shall not be subject to future subordination.</w:t>
      </w:r>
    </w:p>
    <w:p>
      <w:pPr>
        <w:pStyle w:val="Body"/>
        <w:rPr>
          <w:rFonts w:cs="Arial"/>
        </w:rPr>
      </w:pPr>
      <w:r>
        <w:rPr>
          <w:rFonts w:cs="Arial"/>
        </w:rPr>
      </w:r>
    </w:p>
    <w:p>
      <w:pPr>
        <w:pStyle w:val="Body"/>
        <w:ind w:start="90" w:end="0"/>
        <w:rPr>
          <w:rFonts w:cs="Arial"/>
        </w:rPr>
      </w:pPr>
      <w:r>
        <w:rPr>
          <w:rFonts w:cs="Arial"/>
        </w:rPr>
        <w:t>If EOTT draws down on the Enron working capital line of credit to obtain the funds to purchase the property, then this receivable would be subordinated to other lenders.  If EOTT does not use Enron funds, then this criteria would be deemed to have been met.</w:t>
      </w:r>
    </w:p>
    <w:p>
      <w:pPr>
        <w:pStyle w:val="Body"/>
        <w:rPr>
          <w:rFonts w:cs="Arial"/>
        </w:rPr>
      </w:pPr>
      <w:r>
        <w:rPr>
          <w:rFonts w:cs="Arial"/>
        </w:rPr>
      </w:r>
    </w:p>
    <w:p>
      <w:pPr>
        <w:pStyle w:val="Body"/>
        <w:rPr>
          <w:rFonts w:cs="Arial"/>
          <w:i/>
          <w:i/>
          <w:iCs/>
        </w:rPr>
      </w:pPr>
      <w:r>
        <w:rPr>
          <w:rFonts w:cs="Arial"/>
          <w:i/>
          <w:iCs/>
        </w:rPr>
        <w:t>Transfer of Risks and Rewards of Ownership</w:t>
      </w:r>
    </w:p>
    <w:p>
      <w:pPr>
        <w:pStyle w:val="Body"/>
        <w:rPr>
          <w:rFonts w:cs="Arial"/>
          <w:i/>
          <w:i/>
          <w:iCs/>
        </w:rPr>
      </w:pPr>
      <w:r>
        <w:rPr>
          <w:rFonts w:cs="Arial"/>
          <w:i/>
          <w:iCs/>
        </w:rPr>
      </w:r>
    </w:p>
    <w:p>
      <w:pPr>
        <w:pStyle w:val="Body"/>
        <w:rPr>
          <w:rFonts w:cs="Arial"/>
        </w:rPr>
      </w:pPr>
      <w:r>
        <w:rPr>
          <w:rFonts w:cs="Arial"/>
        </w:rPr>
        <w:t>Whether the Seller has any form of continuing involvement with the property sold, that in essence does not transfer the risks and rewards of ownership, affects whether sale and profit recognition are appropriate.  Certain forms of continuing involvement require deferral of profit and others preclude sale treatment altogether.</w:t>
      </w:r>
    </w:p>
    <w:p>
      <w:pPr>
        <w:pStyle w:val="Body"/>
        <w:rPr/>
      </w:pPr>
      <w:r>
        <w:rPr/>
        <w:t xml:space="preserve">Paragraph 27 of SFAS 66 discusses continuing involvement whereby the seller is a general partner in a limited partnership that acquires an interest in the property sold and holds a receivable from the buyer for a significant portion of the sales price.  Footnote 8 defines significant as a receivable in excess of 15% of the maximum first-lien financing that could be obtained from an independent lending institution for the property.  Receivables would include a construction loan made or to be made by the seller, an all-inclusive or wraparound receivable held by the seller, other funds provided or to be provided directly or indirectly by the seller to the buyer, or the present value of a land lease when the seller is the lessor.  We believe that this is applicable only to amounts provided by the seller to the buyer to purchase the facilities and not to existing receivables that the general partner or its affiliates may have with the limited partnership.  Arthur Andersen has agreed that this is not applicable to receivables resulting from commodity contracts or services agreements, but believes it is applicable to all of the financial support and commitments that Enron has provided to EOTT.  Arthur Andersen believes that even if EOTT is able to finance the purchase with funds that are non-recourse to Enron or its subsidiaries, including the general partner, the financial support provided by Enron would violate the provisions of this paragraph.  Arthur Andersen has contended that since cash is fungible, the criteria under paragraph 27 would not be met until all of Enron’s financial support (the $1.1 billion credit line and the $29 million distribution support) to EOTT is terminated.  Under Paragraph 27, a transaction that violates this criteria should be accounted for as a financing, leasing, or profit-sharing arrangement.  Based on these conclusions, the transaction should be accounted for as a financing until all Enron financial support to EOTT has been terminated.  </w:t>
      </w:r>
      <w:r>
        <w:rPr>
          <w:rFonts w:cs="Arial"/>
        </w:rPr>
        <w:t>Enron’s current financial support of EOTT ends on December 31, 2001 and Enron does not intend to renew its support upon expiration.  Enron’s intent has been communicated to EOTT.</w:t>
      </w:r>
    </w:p>
    <w:p>
      <w:pPr>
        <w:pStyle w:val="Body"/>
        <w:ind w:start="0" w:end="0"/>
        <w:rPr>
          <w:rFonts w:cs="Arial"/>
        </w:rPr>
      </w:pPr>
      <w:r>
        <w:rPr>
          <w:rFonts w:cs="Arial"/>
        </w:rPr>
      </w:r>
    </w:p>
    <w:p>
      <w:pPr>
        <w:pStyle w:val="Body"/>
        <w:rPr>
          <w:rFonts w:cs="Arial"/>
        </w:rPr>
      </w:pPr>
      <w:r>
        <w:rPr>
          <w:rFonts w:cs="Arial"/>
        </w:rPr>
        <w:t xml:space="preserve">Under Paragraph 29 of SFAS 66, implied support of operations (and thus, continuing involvement) is presumed when the sale is to a limited partnership of which the Seller is a general partner.  EOTT Energy Corp, a wholly owned subsidiary of Enron Corp., is the general partner of EOTT.   EOTT Energy Corp. exerts significant influence over EOTT, but does not control EOTT due to the limited partners ability to replace EOTT Energy Corp. as general partner. Enron accounts for its investment in EOTT under the equity method of accounting.  It is generally presumed that a general partner in a limited partnership controls the entity and therefore implied support is also presumed.    Implied support has generally been defined as carrying the operating risk of the plant.  As EOTT Energy Corp is incorporated, there exists a corporate veil between EOTT Energy Corp. and their parent, Enron Corp.  Although EOTT Energy Corp is the general partner in EOTT, it is a shell company that has no assets to support the operations of  EOTT.  The only support obligation that EOTT Energy Corp has to EOTT is its responsibilities as general partner.  EOTT Energy Corp. receives a 1% distribution in exchange for its services as general partner which we believe represents market value for such services.  Further, as the project financing is intended to only be recourse to the underlying assets of the project (and temporarily to the inventory and receivables), EOTT Energy Corp. would be further limited in its implied support of the operations of the project. </w:t>
      </w:r>
    </w:p>
    <w:p>
      <w:pPr>
        <w:pStyle w:val="Body"/>
        <w:rPr>
          <w:rFonts w:cs="Arial"/>
        </w:rPr>
      </w:pPr>
      <w:r>
        <w:rPr>
          <w:rFonts w:cs="Arial"/>
        </w:rPr>
      </w:r>
    </w:p>
    <w:p>
      <w:pPr>
        <w:pStyle w:val="Body"/>
        <w:rPr>
          <w:rFonts w:cs="Arial"/>
        </w:rPr>
      </w:pPr>
      <w:r>
        <w:rPr>
          <w:rFonts w:cs="Arial"/>
        </w:rPr>
        <w:t>Several Enron entities currently provide services to EOTT in exchange for reimbursement of all expenses and a 1% priority distribution.  This 1% priority distribution was given to Enron in exchange for its agreement to provide such services and management believes that this distribution is equivalent to a market based fee for such services.  Under Footnote 10 to Paragraph 29, services provided on terms usual for the services to be rendered are not considered to be implied support.  ETS currently provides operational and maintenance services to both the MTBE plant and the Mont Belvieu storage facility and may negotiate with EOTT to provide these same services subsequent to the sale.  Although the 1% priority distribution will not change, as a dollar amount, the 1% would generate more fees based on the profits generated by the MTBE plant and the storage facility.  As long as these services continue to be provided at market-based rates, this would not preclude sale treatment under SFAS 66.</w:t>
      </w:r>
    </w:p>
    <w:p>
      <w:pPr>
        <w:pStyle w:val="Body"/>
        <w:rPr>
          <w:rFonts w:cs="Arial"/>
        </w:rPr>
      </w:pPr>
      <w:r>
        <w:rPr>
          <w:rFonts w:cs="Arial"/>
        </w:rPr>
      </w:r>
    </w:p>
    <w:p>
      <w:pPr>
        <w:pStyle w:val="Body"/>
        <w:ind w:start="90" w:end="0"/>
        <w:rPr/>
      </w:pPr>
      <w:r>
        <w:rPr>
          <w:rFonts w:cs="Arial"/>
        </w:rPr>
        <w:t>Due to the financial support provided by Enron to EOTT, the transaction would be precluded from sale accounting and no gain should be recognized until the support is terminated.  This is anticipated to happen by December 31, 2001.  The transaction should be treated as a financing until such time.</w:t>
      </w:r>
      <w:r>
        <w:rPr/>
        <w:t xml:space="preserve"> </w:t>
      </w:r>
    </w:p>
    <w:p>
      <w:pPr>
        <w:pStyle w:val="Body"/>
        <w:rPr/>
      </w:pPr>
      <w:r>
        <w:rPr/>
      </w:r>
    </w:p>
    <w:p>
      <w:pPr>
        <w:pStyle w:val="Body"/>
        <w:rPr>
          <w:u w:val="single"/>
        </w:rPr>
      </w:pPr>
      <w:r>
        <w:rPr>
          <w:u w:val="single"/>
        </w:rPr>
        <w:t>Issue 3: Does the EGM Toll Conversion Agreement qualify for MTM Accounting?</w:t>
      </w:r>
    </w:p>
    <w:p>
      <w:pPr>
        <w:pStyle w:val="Body"/>
        <w:rPr>
          <w:u w:val="single"/>
        </w:rPr>
      </w:pPr>
      <w:r>
        <w:rPr>
          <w:u w:val="single"/>
        </w:rPr>
      </w:r>
    </w:p>
    <w:p>
      <w:pPr>
        <w:pStyle w:val="Body"/>
        <w:rPr/>
      </w:pPr>
      <w:r>
        <w:rPr/>
        <w:t>The first question that must be considered is whether the Toll Conversion Agreement should be considered a lease or a trading contract.</w:t>
      </w:r>
    </w:p>
    <w:p>
      <w:pPr>
        <w:pStyle w:val="Body"/>
        <w:rPr/>
      </w:pPr>
      <w:r>
        <w:rPr/>
      </w:r>
    </w:p>
    <w:p>
      <w:pPr>
        <w:pStyle w:val="Body"/>
        <w:rPr/>
      </w:pPr>
      <w:r>
        <w:rPr/>
        <w:t>In order to make this assessment, the Toll Conversion Agreement must fully satisfy the requirements of one of the “Buckets” under the current lease model (See Exhibit A) which has been extracted from Andersen’s Interpretation 1-4 in its “Accounting for Leases” book.  As EOTT Energy Corp is the GP of EOTT, achievement of “Bucket B” is more readily attainable and ensures that lease accounting is not applicable.  The following three sections summarize our position as it relates to the three hurdles outlined under Bucket B:</w:t>
      </w:r>
    </w:p>
    <w:p>
      <w:pPr>
        <w:pStyle w:val="Body"/>
        <w:rPr/>
      </w:pPr>
      <w:r>
        <w:rPr/>
      </w:r>
    </w:p>
    <w:p>
      <w:pPr>
        <w:pStyle w:val="Body"/>
        <w:rPr>
          <w:i/>
          <w:i/>
          <w:iCs/>
        </w:rPr>
      </w:pPr>
      <w:r>
        <w:rPr>
          <w:i/>
          <w:iCs/>
        </w:rPr>
        <w:t>Substantive Liquidated Damages</w:t>
      </w:r>
    </w:p>
    <w:p>
      <w:pPr>
        <w:pStyle w:val="Body"/>
        <w:rPr>
          <w:i/>
          <w:i/>
          <w:iCs/>
        </w:rPr>
      </w:pPr>
      <w:r>
        <w:rPr>
          <w:i/>
          <w:iCs/>
        </w:rPr>
      </w:r>
    </w:p>
    <w:p>
      <w:pPr>
        <w:pStyle w:val="Body"/>
        <w:rPr/>
      </w:pPr>
      <w:r>
        <w:rPr/>
        <w:t>Under Section 11.3 of the agreement, EOTT will be obligated to pay cost to cover damages (market damages) in all instances in which it is unable to perform under the contracts.  There are no exceptions or excusals for events of force majeure.  Accordingly, if EOTT cannot deliver the specified contractual quantities, it must financially settle with EGM.  EOTT will pay any necessary market damages on a quarterly basis.</w:t>
      </w:r>
    </w:p>
    <w:p>
      <w:pPr>
        <w:pStyle w:val="Body"/>
        <w:rPr/>
      </w:pPr>
      <w:r>
        <w:rPr/>
      </w:r>
    </w:p>
    <w:p>
      <w:pPr>
        <w:pStyle w:val="Body"/>
        <w:rPr>
          <w:i/>
          <w:i/>
          <w:iCs/>
        </w:rPr>
      </w:pPr>
      <w:r>
        <w:rPr>
          <w:i/>
          <w:iCs/>
        </w:rPr>
        <w:t>EOTT must have the ability to pay LD’s</w:t>
      </w:r>
    </w:p>
    <w:p>
      <w:pPr>
        <w:pStyle w:val="Body"/>
        <w:rPr>
          <w:i/>
          <w:i/>
          <w:iCs/>
        </w:rPr>
      </w:pPr>
      <w:r>
        <w:rPr>
          <w:i/>
          <w:iCs/>
        </w:rPr>
      </w:r>
    </w:p>
    <w:p>
      <w:pPr>
        <w:pStyle w:val="Body"/>
        <w:rPr/>
      </w:pPr>
      <w:r>
        <w:rPr/>
        <w:t>To the extent that EOTT is unable to deliver the contractual quantities, EOTT must be able to pay the market damages assessed to keep EGM “whole”.</w:t>
      </w:r>
    </w:p>
    <w:p>
      <w:pPr>
        <w:pStyle w:val="Body"/>
        <w:rPr/>
      </w:pPr>
      <w:r>
        <w:rPr/>
      </w:r>
    </w:p>
    <w:p>
      <w:pPr>
        <w:pStyle w:val="Body"/>
        <w:rPr/>
      </w:pPr>
      <w:r>
        <w:rPr/>
        <w:t>EOTT will be covered by Business Interruption Insurance under an Enron Corp. Umbrella Policy (the premiums of which are allocated by Enron Corp to and are borne by EOTT).  This insurance takes effect on day one of any insured occurrence.  The deductible is approximately $5 million per occurrence.  Further, EOTT currently has a $200 million line of credit from Standard Chartered, which it can draw upon for operating purposes (the LOC is secured by EOTT’s inventories and receivables).  Lastly, the operation of the facility should provide annual revenues and income to cover or contribute towards any liquidated damages assessed.</w:t>
      </w:r>
    </w:p>
    <w:p>
      <w:pPr>
        <w:pStyle w:val="Body"/>
        <w:rPr/>
      </w:pPr>
      <w:r>
        <w:rPr/>
      </w:r>
    </w:p>
    <w:p>
      <w:pPr>
        <w:pStyle w:val="Body"/>
        <w:rPr>
          <w:i/>
          <w:i/>
          <w:iCs/>
        </w:rPr>
      </w:pPr>
      <w:r>
        <w:rPr>
          <w:i/>
          <w:iCs/>
        </w:rPr>
        <w:t>EGM cannot Guarantee the Future Value of the Facility or have a Bargain Purchase Option to acquire the Facility</w:t>
      </w:r>
    </w:p>
    <w:p>
      <w:pPr>
        <w:pStyle w:val="Body"/>
        <w:rPr>
          <w:i/>
          <w:i/>
          <w:iCs/>
        </w:rPr>
      </w:pPr>
      <w:r>
        <w:rPr>
          <w:i/>
          <w:iCs/>
        </w:rPr>
      </w:r>
    </w:p>
    <w:p>
      <w:pPr>
        <w:pStyle w:val="Body"/>
        <w:rPr/>
      </w:pPr>
      <w:r>
        <w:rPr/>
        <w:t>Neither EGM nor any other Enron Corp. consolidated entity will guarantee the future value of the facility or have a bargain purchase option to acquire the facility.</w:t>
      </w:r>
    </w:p>
    <w:p>
      <w:pPr>
        <w:pStyle w:val="Body"/>
        <w:rPr/>
      </w:pPr>
      <w:r>
        <w:rPr/>
      </w:r>
    </w:p>
    <w:p>
      <w:pPr>
        <w:pStyle w:val="Body"/>
        <w:rPr/>
      </w:pPr>
      <w:r>
        <w:rPr/>
        <w:t>Based on the facts stated above, lease accounting is inappropriate.  The following discussion focuses on whether mark-to-market accounting is appropriate for our contracts.</w:t>
      </w:r>
    </w:p>
    <w:p>
      <w:pPr>
        <w:pStyle w:val="Body"/>
        <w:rPr/>
      </w:pPr>
      <w:r>
        <w:rPr/>
      </w:r>
    </w:p>
    <w:p>
      <w:pPr>
        <w:pStyle w:val="Body"/>
        <w:rPr/>
      </w:pPr>
      <w:r>
        <w:rPr/>
        <w:t>EITF 98-10 concluded that energy trading contracts and risk management activities should be marked-to-market based upon an evaluation of the various activities of an entity rather than solely on the terms of a contract (See Exhibit B).  We believe (analogous to 98-10) that if the preponderance of the evidence and facts and circumstances exist, as described below, a commodity should be marked to market:</w:t>
      </w:r>
    </w:p>
    <w:p>
      <w:pPr>
        <w:pStyle w:val="Body"/>
        <w:rPr/>
      </w:pPr>
      <w:r>
        <w:rPr/>
      </w:r>
    </w:p>
    <w:p>
      <w:pPr>
        <w:pStyle w:val="Body"/>
        <w:numPr>
          <w:ilvl w:val="0"/>
          <w:numId w:val="4"/>
        </w:numPr>
        <w:rPr/>
      </w:pPr>
      <w:r>
        <w:rPr/>
        <w:t>Product meets the definition of a commodity</w:t>
      </w:r>
    </w:p>
    <w:p>
      <w:pPr>
        <w:pStyle w:val="Body"/>
        <w:numPr>
          <w:ilvl w:val="0"/>
          <w:numId w:val="4"/>
        </w:numPr>
        <w:rPr/>
      </w:pPr>
      <w:r>
        <w:rPr/>
        <w:t>Executive management approval for mark-to-market</w:t>
      </w:r>
    </w:p>
    <w:p>
      <w:pPr>
        <w:pStyle w:val="Body"/>
        <w:numPr>
          <w:ilvl w:val="0"/>
          <w:numId w:val="4"/>
        </w:numPr>
        <w:rPr/>
      </w:pPr>
      <w:r>
        <w:rPr/>
        <w:t>Allocated value-at-risk to the commodity (VAR is approved by the BOD)</w:t>
      </w:r>
    </w:p>
    <w:p>
      <w:pPr>
        <w:pStyle w:val="Body"/>
        <w:numPr>
          <w:ilvl w:val="0"/>
          <w:numId w:val="4"/>
        </w:numPr>
        <w:rPr/>
      </w:pPr>
      <w:r>
        <w:rPr/>
        <w:t>Managing the business like a trading company (analogous to trading activities under EITF 98-10)</w:t>
      </w:r>
    </w:p>
    <w:p>
      <w:pPr>
        <w:pStyle w:val="Body"/>
        <w:numPr>
          <w:ilvl w:val="0"/>
          <w:numId w:val="4"/>
        </w:numPr>
        <w:rPr/>
      </w:pPr>
      <w:r>
        <w:rPr/>
        <w:t>Infrastructure in place to manage trading activities</w:t>
      </w:r>
    </w:p>
    <w:p>
      <w:pPr>
        <w:pStyle w:val="Body"/>
        <w:rPr/>
      </w:pPr>
      <w:r>
        <w:rPr/>
      </w:r>
    </w:p>
    <w:p>
      <w:pPr>
        <w:pStyle w:val="Body"/>
        <w:rPr/>
      </w:pPr>
      <w:r>
        <w:rPr/>
        <w:t xml:space="preserve">All of the contracts are commodities within the scope of Enron’s trading activities as defined under EITF 98-10.  </w:t>
      </w:r>
    </w:p>
    <w:p>
      <w:pPr>
        <w:pStyle w:val="Body"/>
        <w:rPr/>
      </w:pPr>
      <w:r>
        <w:rPr/>
      </w:r>
    </w:p>
    <w:p>
      <w:pPr>
        <w:pStyle w:val="Body"/>
        <w:rPr/>
      </w:pPr>
      <w:r>
        <w:rPr/>
        <w:t>In EITF 98-10, the Task Force reached a consensus that energy trading contracts should be marked-to-market.  The Task Force noted that when an operation conducts both trading and nontrading activities and those activities are not segregated organizationally or by legal entity, it is essential that the entity analyze contracts at inception based on the factors in Exhibit 98-10A and identify each contract as trading or non-trading.  Based on the analysis performed in Exhibit B attached hereto, these contracts are trading contracts and should be accounted for using mark-to-market accounting.</w:t>
      </w:r>
    </w:p>
    <w:p>
      <w:pPr>
        <w:pStyle w:val="Body"/>
        <w:rPr/>
      </w:pPr>
      <w:r>
        <w:rPr/>
      </w:r>
    </w:p>
    <w:p>
      <w:pPr>
        <w:pStyle w:val="Body"/>
        <w:rPr>
          <w:u w:val="single"/>
        </w:rPr>
      </w:pPr>
      <w:r>
        <w:rPr>
          <w:u w:val="single"/>
        </w:rPr>
        <w:t>Issue 4: Does the EGM Storage Capacity Agreement qualify for MTM Accounting?</w:t>
      </w:r>
    </w:p>
    <w:p>
      <w:pPr>
        <w:pStyle w:val="Body"/>
        <w:rPr>
          <w:u w:val="single"/>
        </w:rPr>
      </w:pPr>
      <w:r>
        <w:rPr>
          <w:u w:val="single"/>
        </w:rPr>
      </w:r>
    </w:p>
    <w:p>
      <w:pPr>
        <w:pStyle w:val="Body"/>
        <w:rPr/>
      </w:pPr>
      <w:r>
        <w:rPr/>
        <w:t>The first question that must be considered is whether the Storage Capacity Agreement should be considered a lease or a trading contract.</w:t>
      </w:r>
    </w:p>
    <w:p>
      <w:pPr>
        <w:pStyle w:val="Body"/>
        <w:rPr/>
      </w:pPr>
      <w:r>
        <w:rPr/>
      </w:r>
    </w:p>
    <w:p>
      <w:pPr>
        <w:pStyle w:val="Body"/>
        <w:rPr/>
      </w:pPr>
      <w:r>
        <w:rPr/>
        <w:t xml:space="preserve">In order to avoid being classified as a lease, our contracts must fully satisfy the requirements of one of the “Buckets” under our current lease model (See Exhibit A).  EOTT is currently not willing to eliminate the force majeure clause which precludes EGM from marking the contract to market under Bucket B.  Additionally, as EOTT Energy Corp is currently the GP of EOTT and operates the facilities, Bucket A is not currently achievable.  However, since Enron is considering the sale of the GP interest and will continue to discuss the ability to remove the force majeure clauses with EOTT, the contract will be structured such that we would have the ability to meet Bucket A as soon as the GP interest is sold and Enron ceases to operate the facilities and the ability to meet Bucket B if the contract is amended to remove the force majeure clause. </w:t>
      </w:r>
    </w:p>
    <w:p>
      <w:pPr>
        <w:pStyle w:val="Body"/>
        <w:rPr/>
      </w:pPr>
      <w:r>
        <w:rPr/>
      </w:r>
    </w:p>
    <w:p>
      <w:pPr>
        <w:pStyle w:val="Body"/>
        <w:rPr>
          <w:i/>
          <w:i/>
          <w:iCs/>
          <w:u w:val="single"/>
        </w:rPr>
      </w:pPr>
      <w:r>
        <w:rPr>
          <w:i/>
          <w:iCs/>
          <w:u w:val="single"/>
        </w:rPr>
        <w:t>Bucket A Analysis</w:t>
      </w:r>
    </w:p>
    <w:p>
      <w:pPr>
        <w:pStyle w:val="Body"/>
        <w:rPr>
          <w:i/>
          <w:i/>
          <w:iCs/>
          <w:u w:val="single"/>
        </w:rPr>
      </w:pPr>
      <w:r>
        <w:rPr>
          <w:i/>
          <w:iCs/>
          <w:u w:val="single"/>
        </w:rPr>
      </w:r>
    </w:p>
    <w:p>
      <w:pPr>
        <w:pStyle w:val="Body"/>
        <w:rPr>
          <w:i/>
          <w:i/>
          <w:iCs/>
        </w:rPr>
      </w:pPr>
      <w:r>
        <w:rPr>
          <w:i/>
          <w:iCs/>
        </w:rPr>
        <w:t>Enron Cannot Operate Facility</w:t>
      </w:r>
    </w:p>
    <w:p>
      <w:pPr>
        <w:pStyle w:val="Body"/>
        <w:rPr>
          <w:i/>
          <w:i/>
          <w:iCs/>
        </w:rPr>
      </w:pPr>
      <w:r>
        <w:rPr>
          <w:i/>
          <w:iCs/>
        </w:rPr>
      </w:r>
    </w:p>
    <w:p>
      <w:pPr>
        <w:pStyle w:val="Body"/>
        <w:rPr/>
      </w:pPr>
      <w:r>
        <w:rPr/>
        <w:t>Enron currently operates the facilities through its GP interest, but could meet this criteria when it sells its GP interest and terminates all related support agreeements.</w:t>
      </w:r>
    </w:p>
    <w:p>
      <w:pPr>
        <w:pStyle w:val="Body"/>
        <w:rPr/>
      </w:pPr>
      <w:r>
        <w:rPr/>
      </w:r>
    </w:p>
    <w:p>
      <w:pPr>
        <w:pStyle w:val="Body"/>
        <w:rPr>
          <w:i/>
          <w:i/>
          <w:iCs/>
        </w:rPr>
      </w:pPr>
      <w:r>
        <w:rPr>
          <w:i/>
          <w:iCs/>
        </w:rPr>
        <w:t>Enron Cannot Hire/Fire Operator</w:t>
      </w:r>
    </w:p>
    <w:p>
      <w:pPr>
        <w:pStyle w:val="Body"/>
        <w:rPr>
          <w:i/>
          <w:i/>
          <w:iCs/>
          <w:u w:val="single"/>
        </w:rPr>
      </w:pPr>
      <w:r>
        <w:rPr>
          <w:i/>
          <w:iCs/>
          <w:u w:val="single"/>
        </w:rPr>
      </w:r>
    </w:p>
    <w:p>
      <w:pPr>
        <w:pStyle w:val="Body"/>
        <w:rPr/>
      </w:pPr>
      <w:r>
        <w:rPr/>
        <w:t>Enron currently has this ability through its GP interest, but could meet this criteria when it sells its GP interest.</w:t>
      </w:r>
    </w:p>
    <w:p>
      <w:pPr>
        <w:pStyle w:val="Body"/>
        <w:rPr/>
      </w:pPr>
      <w:r>
        <w:rPr/>
      </w:r>
    </w:p>
    <w:p>
      <w:pPr>
        <w:pStyle w:val="Body"/>
        <w:rPr>
          <w:i/>
          <w:i/>
          <w:iCs/>
        </w:rPr>
      </w:pPr>
      <w:r>
        <w:rPr>
          <w:i/>
          <w:iCs/>
        </w:rPr>
        <w:t>Enron Cannot Set/Approve Operating Policies</w:t>
      </w:r>
    </w:p>
    <w:p>
      <w:pPr>
        <w:pStyle w:val="Body"/>
        <w:rPr>
          <w:i/>
          <w:i/>
          <w:iCs/>
          <w:u w:val="single"/>
        </w:rPr>
      </w:pPr>
      <w:r>
        <w:rPr>
          <w:i/>
          <w:iCs/>
          <w:u w:val="single"/>
        </w:rPr>
      </w:r>
    </w:p>
    <w:p>
      <w:pPr>
        <w:pStyle w:val="Body"/>
        <w:rPr/>
      </w:pPr>
      <w:r>
        <w:rPr/>
        <w:t>Enron currently has this ability through its GP interest, but could meet this criteria when it sells its GP interest.</w:t>
      </w:r>
    </w:p>
    <w:p>
      <w:pPr>
        <w:pStyle w:val="Body"/>
        <w:rPr/>
      </w:pPr>
      <w:r>
        <w:rPr/>
      </w:r>
    </w:p>
    <w:p>
      <w:pPr>
        <w:pStyle w:val="Body"/>
        <w:rPr/>
      </w:pPr>
      <w:r>
        <w:rPr/>
      </w:r>
    </w:p>
    <w:p>
      <w:pPr>
        <w:pStyle w:val="Body"/>
        <w:rPr>
          <w:i/>
          <w:i/>
          <w:iCs/>
          <w:u w:val="single"/>
        </w:rPr>
      </w:pPr>
      <w:r>
        <w:rPr>
          <w:i/>
          <w:iCs/>
          <w:u w:val="single"/>
        </w:rPr>
        <w:t>Bucket B Analysis</w:t>
      </w:r>
    </w:p>
    <w:p>
      <w:pPr>
        <w:pStyle w:val="Body"/>
        <w:rPr>
          <w:i/>
          <w:i/>
          <w:iCs/>
          <w:u w:val="single"/>
        </w:rPr>
      </w:pPr>
      <w:r>
        <w:rPr>
          <w:i/>
          <w:iCs/>
          <w:u w:val="single"/>
        </w:rPr>
      </w:r>
    </w:p>
    <w:p>
      <w:pPr>
        <w:pStyle w:val="Body"/>
        <w:rPr>
          <w:i/>
          <w:i/>
          <w:iCs/>
        </w:rPr>
      </w:pPr>
      <w:r>
        <w:rPr>
          <w:i/>
          <w:iCs/>
        </w:rPr>
        <w:t>Substantive Liquidated Damages</w:t>
      </w:r>
    </w:p>
    <w:p>
      <w:pPr>
        <w:pStyle w:val="Body"/>
        <w:rPr>
          <w:i/>
          <w:i/>
          <w:iCs/>
        </w:rPr>
      </w:pPr>
      <w:r>
        <w:rPr>
          <w:i/>
          <w:iCs/>
        </w:rPr>
      </w:r>
    </w:p>
    <w:p>
      <w:pPr>
        <w:pStyle w:val="Body"/>
        <w:rPr/>
      </w:pPr>
      <w:r>
        <w:rPr/>
        <w:t xml:space="preserve">Under the current contract, EOTT will be obligated to pay cost to cover damages in all instances, except force majeure, in which it is unable to perform under the contracts.  Under Section 13.2 of the agreement, these damages consist of all costs to cover when EOTT does not accept volumes for storage.  This would include transportation to a new facility, actual storage costs at such facility, and transportation costs from such facility.  Additionally, EOTT will pay the replacement value of the product when it does not deliver volumes requested to be removed from storage. Accordingly, if EOTT cannot deliver the specified contractual quantities, it must financially settle with EGM.  </w:t>
      </w:r>
    </w:p>
    <w:p>
      <w:pPr>
        <w:pStyle w:val="Body"/>
        <w:rPr/>
      </w:pPr>
      <w:r>
        <w:rPr/>
      </w:r>
    </w:p>
    <w:p>
      <w:pPr>
        <w:pStyle w:val="Body"/>
        <w:rPr>
          <w:i/>
          <w:i/>
          <w:iCs/>
        </w:rPr>
      </w:pPr>
      <w:r>
        <w:rPr>
          <w:i/>
          <w:iCs/>
        </w:rPr>
        <w:t>EOTT must have the ability to pay LD’s</w:t>
      </w:r>
    </w:p>
    <w:p>
      <w:pPr>
        <w:pStyle w:val="Body"/>
        <w:rPr>
          <w:i/>
          <w:i/>
          <w:iCs/>
        </w:rPr>
      </w:pPr>
      <w:r>
        <w:rPr>
          <w:i/>
          <w:iCs/>
        </w:rPr>
      </w:r>
    </w:p>
    <w:p>
      <w:pPr>
        <w:pStyle w:val="Body"/>
        <w:rPr/>
      </w:pPr>
      <w:r>
        <w:rPr/>
        <w:t>To the extent that EOTT is unable to deliver the contractual quantities, EOTT must be able to pay the market damages assessed to keep EGM “whole”.</w:t>
      </w:r>
    </w:p>
    <w:p>
      <w:pPr>
        <w:pStyle w:val="Body"/>
        <w:rPr/>
      </w:pPr>
      <w:r>
        <w:rPr/>
      </w:r>
    </w:p>
    <w:p>
      <w:pPr>
        <w:pStyle w:val="Body"/>
        <w:rPr/>
      </w:pPr>
      <w:r>
        <w:rPr/>
        <w:t>EOTT will be covered by Business Interruption Insurance under an Enron Corp. Umbrella Policy (the premiums of which are allocated by Enron Corp to and are borne by EOTT).  This insurance takes effect on day one of any insured occurrence.  The deductible is approximately $5 million per occurrence.  Further, EOTT currently has a $200 million line of credit from Standard Chartered, which it can draw upon for operating purposes (the LOC is secured by EOTT’s inventories and receivables).  Lastly, the operation of the facility should provide annual revenues and income to cover or contribute towards any liquidated damages assessed.</w:t>
      </w:r>
    </w:p>
    <w:p>
      <w:pPr>
        <w:pStyle w:val="Body"/>
        <w:rPr/>
      </w:pPr>
      <w:r>
        <w:rPr/>
      </w:r>
    </w:p>
    <w:p>
      <w:pPr>
        <w:pStyle w:val="Body"/>
        <w:rPr>
          <w:i/>
          <w:i/>
          <w:iCs/>
        </w:rPr>
      </w:pPr>
      <w:r>
        <w:rPr>
          <w:i/>
          <w:iCs/>
        </w:rPr>
        <w:t>EGM cannot Guarantee the Future Value of the Facility or have a Bargain Purchase Option to acquire the Facility</w:t>
      </w:r>
    </w:p>
    <w:p>
      <w:pPr>
        <w:pStyle w:val="Body"/>
        <w:rPr>
          <w:i/>
          <w:i/>
          <w:iCs/>
        </w:rPr>
      </w:pPr>
      <w:r>
        <w:rPr>
          <w:i/>
          <w:iCs/>
        </w:rPr>
      </w:r>
    </w:p>
    <w:p>
      <w:pPr>
        <w:pStyle w:val="Body"/>
        <w:rPr/>
      </w:pPr>
      <w:r>
        <w:rPr/>
        <w:t>Neither EGM nor any other Enron Corp. consolidated entity will guarantee the future value of the facility or have a bargain purchase option to acquire the facility.</w:t>
      </w:r>
    </w:p>
    <w:p>
      <w:pPr>
        <w:pStyle w:val="Body"/>
        <w:rPr/>
      </w:pPr>
      <w:r>
        <w:rPr/>
      </w:r>
    </w:p>
    <w:p>
      <w:pPr>
        <w:pStyle w:val="Body"/>
        <w:rPr/>
      </w:pPr>
      <w:r>
        <w:rPr/>
        <w:t>Based on the facts stated above, lease accounting is currently appropriate.  However, if Enron sells its GP interest or the force majeure provisions are removed from the contract, the agreement would not be accounted for as a lease under the current accounting rules.  If such rules should change prior to the occurrence of either one of these events, then the new accounting literature must be applied.  If lease accounting is no longer appropriate for the Storage Capacity Agreement, the mark-to-market analysis under EITF 98-10 related to the Toll Conversion Agreement in Issue 3 above, is also applicable to the Storage Capacity Agreement and the contract would be marked-to-market at that time.</w:t>
      </w:r>
    </w:p>
    <w:p>
      <w:pPr>
        <w:pStyle w:val="Body"/>
        <w:rPr/>
      </w:pPr>
      <w:r>
        <w:rPr/>
      </w:r>
    </w:p>
    <w:p>
      <w:pPr>
        <w:pStyle w:val="Body"/>
        <w:rPr/>
      </w:pPr>
      <w:r>
        <w:rPr/>
        <w:t>CC:</w:t>
        <w:tab/>
        <w:t>Mike Patrick</w:t>
      </w:r>
    </w:p>
    <w:p>
      <w:pPr>
        <w:pStyle w:val="Body"/>
        <w:rPr/>
      </w:pPr>
      <w:r>
        <w:rPr/>
        <w:tab/>
        <w:t>Rod Hayslett</w:t>
      </w:r>
    </w:p>
    <w:p>
      <w:pPr>
        <w:pStyle w:val="Body"/>
        <w:rPr/>
      </w:pPr>
      <w:r>
        <w:rPr/>
        <w:tab/>
        <w:t>Rodney Faldyn</w:t>
      </w:r>
    </w:p>
    <w:p>
      <w:pPr>
        <w:pStyle w:val="Body"/>
        <w:rPr/>
      </w:pPr>
      <w:r>
        <w:rPr/>
        <w:tab/>
        <w:t>Brent Price</w:t>
      </w:r>
    </w:p>
    <w:p>
      <w:pPr>
        <w:pStyle w:val="Body"/>
        <w:rPr/>
      </w:pPr>
      <w:r>
        <w:rPr/>
      </w:r>
    </w:p>
    <w:p>
      <w:pPr>
        <w:pStyle w:val="Body"/>
        <w:rPr/>
      </w:pPr>
      <w:r>
        <w:rPr/>
      </w:r>
      <w:r>
        <w:br w:type="page"/>
      </w:r>
    </w:p>
    <w:p>
      <w:pPr>
        <w:pStyle w:val="Body"/>
        <w:rPr/>
      </w:pPr>
      <w:r>
        <w:rPr/>
      </w:r>
    </w:p>
    <w:p>
      <w:pPr>
        <w:pStyle w:val="Heading1"/>
        <w:ind w:hanging="0" w:start="0"/>
        <w:rPr>
          <w:i/>
          <w:i/>
          <w:iCs/>
        </w:rPr>
      </w:pPr>
      <w:r>
        <w:rPr>
          <w:i/>
          <w:iCs/>
        </w:rPr>
        <w:t>Exhibit A</w:t>
      </w:r>
    </w:p>
    <w:p>
      <w:pPr>
        <w:pStyle w:val="Heading1"/>
        <w:numPr>
          <w:ilvl w:val="0"/>
          <w:numId w:val="0"/>
        </w:numPr>
        <w:rPr>
          <w:i/>
          <w:i/>
          <w:iCs/>
        </w:rPr>
      </w:pPr>
      <w:r>
        <w:rPr>
          <w:i/>
          <w:iCs/>
        </w:rPr>
        <w:drawing>
          <wp:anchor behindDoc="0" distT="0" distB="0" distL="114935" distR="114935" simplePos="0" locked="0" layoutInCell="0" allowOverlap="1" relativeHeight="4">
            <wp:simplePos x="0" y="0"/>
            <wp:positionH relativeFrom="column">
              <wp:posOffset>-32385</wp:posOffset>
            </wp:positionH>
            <wp:positionV relativeFrom="paragraph">
              <wp:posOffset>481330</wp:posOffset>
            </wp:positionV>
            <wp:extent cx="5480685" cy="382841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4" t="-6" r="-4" b="-6"/>
                    <a:stretch>
                      <a:fillRect/>
                    </a:stretch>
                  </pic:blipFill>
                  <pic:spPr bwMode="auto">
                    <a:xfrm>
                      <a:off x="0" y="0"/>
                      <a:ext cx="5480685" cy="3828415"/>
                    </a:xfrm>
                    <a:prstGeom prst="rect">
                      <a:avLst/>
                    </a:prstGeom>
                    <a:noFill/>
                  </pic:spPr>
                </pic:pic>
              </a:graphicData>
            </a:graphic>
          </wp:anchor>
        </w:drawing>
      </w:r>
      <w:r>
        <w:br w:type="page"/>
      </w:r>
    </w:p>
    <w:p>
      <w:pPr>
        <w:pStyle w:val="Heading1"/>
        <w:ind w:hanging="0" w:start="0"/>
        <w:rPr>
          <w:i/>
          <w:i/>
          <w:iCs/>
        </w:rPr>
      </w:pPr>
      <w:r>
        <w:rPr>
          <w:i/>
          <w:iCs/>
        </w:rPr>
        <w:t>Exhibit B</w:t>
      </w:r>
    </w:p>
    <w:p>
      <w:pPr>
        <w:pStyle w:val="Normal"/>
        <w:rPr>
          <w:i/>
          <w:i/>
          <w:iCs/>
        </w:rPr>
      </w:pPr>
      <w:r>
        <w:rPr>
          <w:i/>
          <w:iCs/>
        </w:rPr>
      </w:r>
    </w:p>
    <w:p>
      <w:pPr>
        <w:pStyle w:val="Normal"/>
        <w:rPr/>
      </w:pPr>
      <w:r>
        <w:rPr/>
      </w:r>
    </w:p>
    <w:p>
      <w:pPr>
        <w:pStyle w:val="Heading1"/>
        <w:ind w:hanging="0" w:start="0"/>
        <w:rPr/>
      </w:pPr>
      <w:r>
        <w:rPr/>
        <w:t>EITF 98-10 Analysis for EGM Accounting for Contracts</w:t>
      </w:r>
    </w:p>
    <w:p>
      <w:pPr>
        <w:pStyle w:val="Normal"/>
        <w:rPr/>
      </w:pPr>
      <w:r>
        <w:rPr/>
      </w:r>
    </w:p>
    <w:p>
      <w:pPr>
        <w:pStyle w:val="Normal"/>
        <w:rPr/>
      </w:pPr>
      <w:r>
        <w:rPr/>
      </w:r>
    </w:p>
    <w:tbl>
      <w:tblPr>
        <w:tblW w:w="7830" w:type="dxa"/>
        <w:jc w:val="start"/>
        <w:tblInd w:w="108" w:type="dxa"/>
        <w:tblLayout w:type="fixed"/>
        <w:tblCellMar>
          <w:top w:w="0" w:type="dxa"/>
          <w:start w:w="108" w:type="dxa"/>
          <w:bottom w:w="0" w:type="dxa"/>
          <w:end w:w="108" w:type="dxa"/>
        </w:tblCellMar>
      </w:tblPr>
      <w:tblGrid>
        <w:gridCol w:w="4140"/>
        <w:gridCol w:w="1890"/>
        <w:gridCol w:w="1800"/>
      </w:tblGrid>
      <w:tr>
        <w:trPr/>
        <w:tc>
          <w:tcPr>
            <w:tcW w:w="4140" w:type="dxa"/>
            <w:tcBorders>
              <w:top w:val="single" w:sz="4" w:space="0" w:color="000000"/>
              <w:start w:val="single" w:sz="4" w:space="0" w:color="000000"/>
              <w:bottom w:val="single" w:sz="4" w:space="0" w:color="000000"/>
              <w:end w:val="single" w:sz="4" w:space="0" w:color="000000"/>
            </w:tcBorders>
          </w:tcPr>
          <w:p>
            <w:pPr>
              <w:pStyle w:val="Heading4"/>
              <w:rPr/>
            </w:pPr>
            <w:r>
              <w:rPr/>
              <w:t>Indicator</w:t>
            </w:r>
          </w:p>
        </w:tc>
        <w:tc>
          <w:tcPr>
            <w:tcW w:w="1890" w:type="dxa"/>
            <w:tcBorders>
              <w:top w:val="single" w:sz="4" w:space="0" w:color="000000"/>
              <w:start w:val="single" w:sz="4" w:space="0" w:color="000000"/>
              <w:bottom w:val="single" w:sz="4" w:space="0" w:color="000000"/>
              <w:end w:val="single" w:sz="4" w:space="0" w:color="000000"/>
            </w:tcBorders>
          </w:tcPr>
          <w:p>
            <w:pPr>
              <w:pStyle w:val="Heading2"/>
              <w:ind w:hanging="0" w:start="0"/>
              <w:rPr>
                <w:u w:val="none"/>
              </w:rPr>
            </w:pPr>
            <w:r>
              <w:rPr>
                <w:u w:val="none"/>
              </w:rPr>
              <w:t>Trading / Market</w:t>
            </w:r>
          </w:p>
        </w:tc>
        <w:tc>
          <w:tcPr>
            <w:tcW w:w="1800"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Satisfy</w:t>
            </w:r>
          </w:p>
        </w:tc>
      </w:tr>
      <w:tr>
        <w:trPr/>
        <w:tc>
          <w:tcPr>
            <w:tcW w:w="7830" w:type="dxa"/>
            <w:gridSpan w:val="3"/>
            <w:tcBorders>
              <w:top w:val="single" w:sz="4" w:space="0" w:color="000000"/>
              <w:start w:val="single" w:sz="4" w:space="0" w:color="000000"/>
              <w:bottom w:val="single" w:sz="4" w:space="0" w:color="000000"/>
              <w:end w:val="single" w:sz="4" w:space="0" w:color="000000"/>
            </w:tcBorders>
            <w:shd w:fill="E0E0E0" w:val="clear"/>
          </w:tcPr>
          <w:p>
            <w:pPr>
              <w:pStyle w:val="Normal"/>
              <w:rPr>
                <w:b/>
                <w:bCs/>
                <w:sz w:val="20"/>
              </w:rPr>
            </w:pPr>
            <w:r>
              <w:rPr>
                <w:b/>
                <w:bCs/>
                <w:sz w:val="20"/>
              </w:rPr>
              <w:t>A. Generation/production/distribution/transmission capacity</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1.  The primary business of the operation is not to generate/produce/deliver</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Yes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2.  The operation has little or no generation/production/distribution/transmission capabilities (does not own capital assets that would enable delivery to end user.)</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Partially</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3.  The primary assets/liabilities of the operation are contracts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4.  The operation does not use its own capital assets to satisfy its delivery requirements to customer</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5.  The operation offers products as a dealer, not as a “user” or “producer” of the commodity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Yes/Partially</w:t>
            </w:r>
          </w:p>
        </w:tc>
      </w:tr>
      <w:tr>
        <w:trPr/>
        <w:tc>
          <w:tcPr>
            <w:tcW w:w="7830" w:type="dxa"/>
            <w:gridSpan w:val="3"/>
            <w:tcBorders>
              <w:top w:val="single" w:sz="4" w:space="0" w:color="000000"/>
              <w:start w:val="single" w:sz="4" w:space="0" w:color="000000"/>
              <w:bottom w:val="single" w:sz="4" w:space="0" w:color="000000"/>
              <w:end w:val="single" w:sz="4" w:space="0" w:color="000000"/>
            </w:tcBorders>
            <w:shd w:fill="E0E0E0" w:val="clear"/>
          </w:tcPr>
          <w:p>
            <w:pPr>
              <w:pStyle w:val="Normal"/>
              <w:rPr>
                <w:b/>
                <w:bCs/>
                <w:sz w:val="20"/>
              </w:rPr>
            </w:pPr>
            <w:r>
              <w:rPr>
                <w:b/>
                <w:bCs/>
                <w:sz w:val="20"/>
              </w:rPr>
              <w:t>B. Customers, counterparties, and competitors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1.  The majority of the counterparties to the contracts are not retail customers or industrial customers that take delivery of and consume the commodity in their business (for example, the customers or counterparties are brokers/traders).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Market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2.  The majority competitors of the operation are traders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Market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r>
        <w:trPr/>
        <w:tc>
          <w:tcPr>
            <w:tcW w:w="7830" w:type="dxa"/>
            <w:gridSpan w:val="3"/>
            <w:tcBorders>
              <w:top w:val="single" w:sz="4" w:space="0" w:color="000000"/>
              <w:start w:val="single" w:sz="4" w:space="0" w:color="000000"/>
              <w:bottom w:val="single" w:sz="4" w:space="0" w:color="000000"/>
              <w:end w:val="single" w:sz="4" w:space="0" w:color="000000"/>
            </w:tcBorders>
            <w:shd w:fill="E0E0E0" w:val="clear"/>
          </w:tcPr>
          <w:p>
            <w:pPr>
              <w:pStyle w:val="Normal"/>
              <w:rPr>
                <w:b/>
                <w:bCs/>
                <w:sz w:val="20"/>
              </w:rPr>
            </w:pPr>
            <w:r>
              <w:rPr>
                <w:b/>
                <w:bCs/>
                <w:sz w:val="20"/>
              </w:rPr>
              <w:t>C.  Volume of purchases and sales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1.  The volume of purchases and sales significantly differs from the operation’s historical generation/production and delivery in its primary operating environment (that is, the area in which an operation typically delivers energy or could physically deliver such energy in a cost-effective manner in order to earn its revenue).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2.  There has been a change in the volume of purchases and sales that is significant relative to the change in demand in the primary operating environment.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3.  Quantities contracted for far exceed normal needs.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4.  The operation does not consume the energy to meet its normal needs.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5.  The operation’s volume of purchases and sales is not dictated by physical capacities (for example, transportation (pipelines, wires), production, or distribution).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6.  There is a high turnover rate of the portfolio of energy contracts.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r>
        <w:trPr/>
        <w:tc>
          <w:tcPr>
            <w:tcW w:w="7830" w:type="dxa"/>
            <w:gridSpan w:val="3"/>
            <w:tcBorders>
              <w:top w:val="single" w:sz="4" w:space="0" w:color="000000"/>
              <w:start w:val="single" w:sz="4" w:space="0" w:color="000000"/>
              <w:bottom w:val="single" w:sz="4" w:space="0" w:color="000000"/>
              <w:end w:val="single" w:sz="4" w:space="0" w:color="000000"/>
            </w:tcBorders>
            <w:shd w:fill="E0E0E0" w:val="clear"/>
          </w:tcPr>
          <w:p>
            <w:pPr>
              <w:pStyle w:val="Normal"/>
              <w:rPr>
                <w:b/>
                <w:bCs/>
                <w:sz w:val="20"/>
              </w:rPr>
            </w:pPr>
            <w:r>
              <w:rPr>
                <w:b/>
                <w:bCs/>
                <w:sz w:val="20"/>
              </w:rPr>
              <w:t>D.  Ability to gather/transmit/transport energy efficiently and effectively</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1.  The operation typically enters into forward delivery or purchase contracts for delivery/receipt outside the operation’s primary operating environment (that is, the counterparties to the energy contracts are outside the primary operating environment).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2.  The operation does not have the capabilities to gather and transmit energy efficiently and effectively in the primary operating environment in which the operation’s energy contracts are located.</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3.  The operation has no available sources by which it can obtain the energy without resorting to market purchases.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r>
        <w:trPr/>
        <w:tc>
          <w:tcPr>
            <w:tcW w:w="7830" w:type="dxa"/>
            <w:gridSpan w:val="3"/>
            <w:tcBorders>
              <w:top w:val="single" w:sz="4" w:space="0" w:color="000000"/>
              <w:start w:val="single" w:sz="4" w:space="0" w:color="000000"/>
              <w:bottom w:val="single" w:sz="4" w:space="0" w:color="000000"/>
              <w:end w:val="single" w:sz="4" w:space="0" w:color="000000"/>
            </w:tcBorders>
            <w:shd w:fill="E0E0E0" w:val="clear"/>
          </w:tcPr>
          <w:p>
            <w:pPr>
              <w:pStyle w:val="Normal"/>
              <w:rPr>
                <w:b/>
                <w:bCs/>
                <w:sz w:val="20"/>
              </w:rPr>
            </w:pPr>
            <w:r>
              <w:rPr>
                <w:b/>
                <w:bCs/>
                <w:sz w:val="20"/>
              </w:rPr>
              <w:t>E. Management and controls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1.  Compensation and/or performance measures are tied to the short-term results generated from energy contracts (that is, the operation is measured based on trading profits or changes in the market values of its positions as opposed to profitable management of income-producing assets, such as power plants, pipelines, and manufacturing facilities).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2.  The operation communicates internally in terms of “trading strategy” (that is, management reports identify contractual positions, fair values, hedging activities, risk exposure, and so forth).</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3.  The word “trading” is in the name of the operation for internal and external purposes.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4.  Employees of the operation are referred to as “traders” or have prior experience in derivative trading or risk-management activities.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5.  Assessment of net market positions of the operation is done on an hourly or overnight basis.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6.  Infrastructure of the operation is similar to that of a trading operation of a bank or investment bank – front office, middle office, and back office (that is, there is a segregation of back office processing and front office trading functions).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7.  An infrastructure exists that enables the operation to capture price and other risks on a real-time basis.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8.  The activities are managed on a portfolio or “book” basis.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9.  Management searches for opportunities to take advantage of favorable price spreads, arbitrage opportunities, or outright positions in the marketplace.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r>
        <w:trPr/>
        <w:tc>
          <w:tcPr>
            <w:tcW w:w="7830" w:type="dxa"/>
            <w:gridSpan w:val="3"/>
            <w:tcBorders>
              <w:top w:val="single" w:sz="4" w:space="0" w:color="000000"/>
              <w:start w:val="single" w:sz="4" w:space="0" w:color="000000"/>
              <w:bottom w:val="single" w:sz="4" w:space="0" w:color="000000"/>
              <w:end w:val="single" w:sz="4" w:space="0" w:color="000000"/>
            </w:tcBorders>
            <w:shd w:fill="E0E0E0" w:val="clear"/>
          </w:tcPr>
          <w:p>
            <w:pPr>
              <w:pStyle w:val="Normal"/>
              <w:rPr>
                <w:b/>
                <w:bCs/>
                <w:sz w:val="20"/>
              </w:rPr>
            </w:pPr>
            <w:r>
              <w:rPr>
                <w:b/>
                <w:bCs/>
                <w:sz w:val="20"/>
              </w:rPr>
              <w:t>F.  The contracts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1.  The operation has a history of pairing off contracts or otherwise settling the contracts without physically receiving or delivering energy.  That is, past practices of the operation have resulted in net cash settlement, offsetting, booking out, netting out, as well as flash title, and the type of settlement has changed quickly from one type to another to maximize profits/mitigate losses.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2.  The energy contracts do not permit physical delivery and must be settled net in the market, in cash.</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3.  Settlement of the contract is not likely to be by delivery of the energy (that is, the operation has a pattern of net settlement).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4.  The energy contracts are not customarily used for general commercial business purposes or by the industry in general (for example, complex written options in which the operation does not stand ready to deliver energy).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ind w:start="-108" w:end="0"/>
              <w:rPr/>
            </w:pPr>
            <w:r>
              <w:rPr/>
              <w:t>5.  The energy contracts contain provisions for liquidated damages in an amount that is based on changes in the price of the energy commodity that is the subject of the contract.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Trading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Yes</w:t>
            </w:r>
          </w:p>
        </w:tc>
      </w:tr>
    </w:tbl>
    <w:p>
      <w:pPr>
        <w:pStyle w:val="Normal"/>
        <w:rPr/>
      </w:pPr>
      <w:r>
        <w:rPr/>
      </w:r>
    </w:p>
    <w:p>
      <w:pPr>
        <w:pStyle w:val="Body"/>
        <w:rPr/>
      </w:pPr>
      <w:r>
        <w:rPr/>
      </w:r>
    </w:p>
    <w:p>
      <w:pPr>
        <w:pStyle w:val="CopyList"/>
        <w:rPr/>
      </w:pPr>
      <w:r>
        <w:rPr/>
      </w:r>
      <w:r>
        <w:br w:type="page"/>
      </w:r>
    </w:p>
    <w:p>
      <w:pPr>
        <w:pStyle w:val="Heading1"/>
        <w:ind w:hanging="0" w:start="0"/>
        <w:rPr/>
      </w:pPr>
      <w:r>
        <w:rPr/>
        <w:t xml:space="preserve"> </w:t>
      </w:r>
    </w:p>
    <w:sectPr>
      <w:headerReference w:type="default" r:id="rId4"/>
      <w:headerReference w:type="first" r:id="rId5"/>
      <w:footerReference w:type="default" r:id="rId6"/>
      <w:footerReference w:type="first" r:id="rId7"/>
      <w:type w:val="nextPage"/>
      <w:pgSz w:w="12240" w:h="15840"/>
      <w:pgMar w:left="1152" w:right="1152" w:gutter="0" w:header="720" w:top="1440" w:footer="3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Project Timber Memo</w:t>
      <w:tab/>
      <w:t xml:space="preserve">  7/10/2001</w:t>
      <w:tab/>
      <w:t xml:space="preserve">Page </w:t>
    </w:r>
    <w:r>
      <w:rPr/>
      <w:fldChar w:fldCharType="begin"/>
    </w:r>
    <w:r>
      <w:rPr/>
      <w:instrText xml:space="preserve"> PAGE </w:instrText>
    </w:r>
    <w:r>
      <w:rPr/>
      <w:fldChar w:fldCharType="separate"/>
    </w:r>
    <w:r>
      <w:rPr/>
      <w:t>14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92"/>
        </w:tabs>
        <w:ind w:start="792" w:hanging="360"/>
      </w:pPr>
    </w:lvl>
  </w:abstractNum>
  <w:abstractNum w:abstractNumId="3">
    <w:lvl w:ilvl="0">
      <w:start w:val="1"/>
      <w:numFmt w:val="decimal"/>
      <w:lvlText w:val="%1."/>
      <w:lvlJc w:val="start"/>
      <w:pPr>
        <w:tabs>
          <w:tab w:val="num" w:pos="792"/>
        </w:tabs>
        <w:ind w:start="792" w:hanging="360"/>
      </w:pPr>
    </w:lvl>
  </w:abstractNum>
  <w:abstractNum w:abstractNumId="4">
    <w:lvl w:ilvl="0">
      <w:start w:val="1"/>
      <w:numFmt w:val="bullet"/>
      <w:lvlText w:val=""/>
      <w:lvlJc w:val="start"/>
      <w:pPr>
        <w:tabs>
          <w:tab w:val="num" w:pos="792"/>
        </w:tabs>
        <w:ind w:start="792" w:hanging="360"/>
      </w:pPr>
      <w:rPr>
        <w:rFonts w:ascii="Symbol" w:hAnsi="Symbol" w:cs="Symbol" w:hint="default"/>
      </w:rPr>
    </w:lvl>
  </w:abstractNum>
  <w:abstractNum w:abstractNumId="5">
    <w:lvl w:ilvl="0">
      <w:start w:val="1"/>
      <w:numFmt w:val="bullet"/>
      <w:lvlText w:val=""/>
      <w:lvlJc w:val="start"/>
      <w:pPr>
        <w:tabs>
          <w:tab w:val="num" w:pos="792"/>
        </w:tabs>
        <w:ind w:start="792"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verflowPunct w:val="true"/>
      <w:autoSpaceDE w:val="true"/>
      <w:textAlignment w:val="auto"/>
      <w:outlineLvl w:val="0"/>
    </w:pPr>
    <w:rPr>
      <w:rFonts w:ascii="Times New Roman" w:hAnsi="Times New Roman" w:cs="Times New Roman"/>
      <w:b/>
    </w:rPr>
  </w:style>
  <w:style w:type="paragraph" w:styleId="Heading2">
    <w:name w:val="heading 2"/>
    <w:basedOn w:val="Normal"/>
    <w:next w:val="Normal"/>
    <w:qFormat/>
    <w:pPr>
      <w:keepNext w:val="true"/>
      <w:numPr>
        <w:ilvl w:val="1"/>
        <w:numId w:val="1"/>
      </w:numPr>
      <w:tabs>
        <w:tab w:val="clear" w:pos="540"/>
      </w:tabs>
      <w:overflowPunct w:val="true"/>
      <w:autoSpaceDE w:val="true"/>
      <w:jc w:val="center"/>
      <w:textAlignment w:val="auto"/>
      <w:outlineLvl w:val="1"/>
    </w:pPr>
    <w:rPr>
      <w:rFonts w:ascii="Times New Roman" w:hAnsi="Times New Roman" w:cs="Times New Roman"/>
      <w:b/>
      <w:sz w:val="20"/>
      <w:u w:val="single"/>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paragraph" w:styleId="Heading4">
    <w:name w:val="heading 4"/>
    <w:basedOn w:val="Normal"/>
    <w:next w:val="Normal"/>
    <w:qFormat/>
    <w:pPr>
      <w:keepNext w:val="true"/>
      <w:numPr>
        <w:ilvl w:val="3"/>
        <w:numId w:val="1"/>
      </w:numPr>
      <w:ind w:hanging="0" w:start="-108" w:end="0"/>
      <w:outlineLvl w:val="3"/>
    </w:pPr>
    <w:rPr>
      <w:b/>
    </w:rPr>
  </w:style>
  <w:style w:type="paragraph" w:styleId="Heading5">
    <w:name w:val="heading 5"/>
    <w:basedOn w:val="Normal"/>
    <w:next w:val="Normal"/>
    <w:qFormat/>
    <w:pPr>
      <w:keepNext w:val="true"/>
      <w:numPr>
        <w:ilvl w:val="4"/>
        <w:numId w:val="1"/>
      </w:numPr>
      <w:ind w:hanging="0" w:start="-108" w:end="0"/>
      <w:outlineLvl w:val="4"/>
    </w:pPr>
    <w:rPr>
      <w:b/>
      <w:sz w:val="20"/>
    </w:rPr>
  </w:style>
  <w:style w:type="paragraph" w:styleId="Heading6">
    <w:name w:val="heading 6"/>
    <w:basedOn w:val="Normal"/>
    <w:next w:val="Normal"/>
    <w:qFormat/>
    <w:pPr>
      <w:keepNext w:val="true"/>
      <w:numPr>
        <w:ilvl w:val="5"/>
        <w:numId w:val="1"/>
      </w:numPr>
      <w:jc w:val="center"/>
      <w:outlineLvl w:val="5"/>
    </w:pPr>
    <w:rPr>
      <w:b/>
    </w:rPr>
  </w:style>
  <w:style w:type="paragraph" w:styleId="Heading7">
    <w:name w:val="heading 7"/>
    <w:basedOn w:val="Normal"/>
    <w:next w:val="Normal"/>
    <w:qFormat/>
    <w:pPr>
      <w:keepNext w:val="true"/>
      <w:numPr>
        <w:ilvl w:val="6"/>
        <w:numId w:val="1"/>
      </w:numPr>
      <w:tabs>
        <w:tab w:val="clear" w:pos="540"/>
      </w:tabs>
      <w:overflowPunct w:val="true"/>
      <w:textAlignment w:val="auto"/>
      <w:outlineLvl w:val="6"/>
    </w:pPr>
    <w:rPr>
      <w:rFonts w:cs="Arial"/>
      <w:b/>
      <w:bCs/>
      <w:sz w:val="20"/>
    </w:rPr>
  </w:style>
  <w:style w:type="paragraph" w:styleId="Heading8">
    <w:name w:val="heading 8"/>
    <w:basedOn w:val="Normal"/>
    <w:next w:val="Normal"/>
    <w:qFormat/>
    <w:pPr>
      <w:keepNext w:val="true"/>
      <w:numPr>
        <w:ilvl w:val="7"/>
        <w:numId w:val="1"/>
      </w:numPr>
      <w:tabs>
        <w:tab w:val="clear" w:pos="540"/>
      </w:tabs>
      <w:overflowPunct w:val="true"/>
      <w:ind w:firstLine="720" w:start="0" w:end="0"/>
      <w:textAlignment w:val="auto"/>
      <w:outlineLvl w:val="7"/>
    </w:pPr>
    <w:rPr>
      <w:rFonts w:cs="Arial"/>
      <w:b/>
      <w:bCs/>
      <w:sz w:val="16"/>
      <w:szCs w:val="16"/>
    </w:rPr>
  </w:style>
  <w:style w:type="character" w:styleId="WW8Num2z0">
    <w:name w:val="WW8Num2z0"/>
    <w:qFormat/>
    <w:rPr/>
  </w:style>
  <w:style w:type="character" w:styleId="WW8Num4z0">
    <w:name w:val="WW8Num4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overflowPunct w:val="true"/>
      <w:autoSpaceDE w:val="true"/>
      <w:textAlignment w:val="auto"/>
    </w:pPr>
    <w:rPr>
      <w:rFonts w:ascii="Times New Roman" w:hAnsi="Times New Roman" w:cs="Times New Roman"/>
      <w:i/>
      <w:iCs/>
      <w:szCs w:val="24"/>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tabs>
        <w:tab w:val="clear" w:pos="540"/>
      </w:tabs>
      <w:overflowPunct w:val="true"/>
      <w:autoSpaceDE w:val="true"/>
      <w:textAlignment w:val="auto"/>
    </w:pPr>
    <w:rPr>
      <w:rFonts w:ascii="Times New Roman" w:hAnsi="Times New Roman" w:cs="Times New Roman"/>
      <w:b/>
      <w:bCs/>
      <w:i/>
      <w:iCs/>
      <w:szCs w:val="24"/>
    </w:rPr>
  </w:style>
  <w:style w:type="paragraph" w:styleId="BodyTextIndent">
    <w:name w:val="Body Text Indent"/>
    <w:basedOn w:val="Normal"/>
    <w:pPr>
      <w:tabs>
        <w:tab w:val="clear" w:pos="540"/>
      </w:tabs>
      <w:overflowPunct w:val="true"/>
      <w:autoSpaceDE w:val="true"/>
      <w:ind w:hanging="0" w:start="720" w:end="0"/>
      <w:textAlignment w:val="auto"/>
    </w:pPr>
    <w:rPr>
      <w:rFonts w:ascii="Times New Roman" w:hAnsi="Times New Roman" w:cs="Times New Roman"/>
      <w:i/>
      <w:iCs/>
      <w:szCs w:val="24"/>
      <w:u w:val="single"/>
    </w:rPr>
  </w:style>
  <w:style w:type="paragraph" w:styleId="BodyTextIndent2">
    <w:name w:val="Body Text Indent 2"/>
    <w:basedOn w:val="Normal"/>
    <w:qFormat/>
    <w:pPr>
      <w:tabs>
        <w:tab w:val="clear" w:pos="540"/>
      </w:tabs>
      <w:overflowPunct w:val="true"/>
      <w:autoSpaceDE w:val="true"/>
      <w:ind w:hanging="0" w:start="720" w:end="0"/>
      <w:textAlignment w:val="auto"/>
    </w:pPr>
    <w:rPr>
      <w:rFonts w:ascii="Times New Roman" w:hAnsi="Times New Roman" w:cs="Times New Roman"/>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351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2001-06-11T15:06:00Z</dcterms:created>
  <dc:creator>mcilia</dc:creator>
  <dc:description/>
  <dc:language>en-CA</dc:language>
  <cp:lastModifiedBy>mcilia</cp:lastModifiedBy>
  <cp:lastPrinted>2001-06-11T12:35:00Z</cp:lastPrinted>
  <dcterms:modified xsi:type="dcterms:W3CDTF">2001-09-26T18:20:00Z</dcterms:modified>
  <cp:revision>11</cp:revision>
  <dc:subject/>
  <dc:title>Better, Faster, Simpler Memo </dc:title>
</cp:coreProperties>
</file>