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The Files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Accounting</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Accounting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Project Timber Accounting </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July 10, 2001</w:t>
            </w:r>
          </w:p>
        </w:tc>
      </w:tr>
    </w:tbl>
    <w:p>
      <w:pPr>
        <w:pStyle w:val="Body"/>
        <w:rPr/>
      </w:pPr>
      <w:r>
        <w:rPr/>
      </w:r>
      <w:bookmarkStart w:id="1" w:name="StartOfMemo"/>
      <w:bookmarkStart w:id="2" w:name="StartOfMemo"/>
      <w:bookmarkEnd w:id="2"/>
    </w:p>
    <w:p>
      <w:pPr>
        <w:pStyle w:val="Body"/>
        <w:rPr/>
      </w:pPr>
      <w:r>
        <w:rPr/>
        <w:t>The purpose of this memorandum is to document EOTT’s accounting treatment for the Toll Conversion Agreement between EOTT Energy Liquids, L.P. (“EOTT”) and Enron Gas Liquids, Inc. (“EGLI”) dated June 29, 2001.</w:t>
      </w:r>
    </w:p>
    <w:p>
      <w:pPr>
        <w:pStyle w:val="Body"/>
        <w:rPr/>
      </w:pPr>
      <w:r>
        <w:rPr/>
      </w:r>
    </w:p>
    <w:p>
      <w:pPr>
        <w:pStyle w:val="Body"/>
        <w:rPr>
          <w:b/>
          <w:bCs/>
          <w:u w:val="single"/>
        </w:rPr>
      </w:pPr>
      <w:r>
        <w:rPr>
          <w:b/>
          <w:bCs/>
          <w:u w:val="single"/>
        </w:rPr>
        <w:t>Background</w:t>
      </w:r>
    </w:p>
    <w:p>
      <w:pPr>
        <w:pStyle w:val="Body"/>
        <w:rPr>
          <w:b/>
          <w:bCs/>
          <w:u w:val="single"/>
        </w:rPr>
      </w:pPr>
      <w:r>
        <w:rPr>
          <w:b/>
          <w:bCs/>
          <w:u w:val="single"/>
        </w:rPr>
      </w:r>
    </w:p>
    <w:p>
      <w:pPr>
        <w:pStyle w:val="Body"/>
        <w:rPr/>
      </w:pPr>
      <w:r>
        <w:rPr/>
        <w:t>EGP Fuels owned an MTBE plant and leased the Mont Belvieu storage facility from an off-balance sheet synthetic lease structure.  EGP Fuels also owned the land and rights-of-way related to the Mont Belvieu storage facility as well as a pipeline grid system that connects each of these facilities.  EGP Fuels conveyed the Mont Belvieu storage facility from the synthetic lease structure to EOTT and sold the MTBE plant and the grid system to EOTT for approximately $117 million in total.  These transactions were completed on June 29, 2001.</w:t>
      </w:r>
    </w:p>
    <w:p>
      <w:pPr>
        <w:pStyle w:val="Body"/>
        <w:rPr/>
      </w:pPr>
      <w:r>
        <w:rPr/>
      </w:r>
    </w:p>
    <w:p>
      <w:pPr>
        <w:pStyle w:val="Body"/>
        <w:rPr/>
      </w:pPr>
      <w:r>
        <w:rPr/>
        <w:t xml:space="preserve">Concurrently, EOTT and EGLI entered into a Toll Conversion Agreement and Mont Belvieu Storage Capacity Purchase Agreement each with a ten year term.  </w:t>
      </w:r>
    </w:p>
    <w:p>
      <w:pPr>
        <w:pStyle w:val="Body"/>
        <w:rPr/>
      </w:pPr>
      <w:r>
        <w:rPr/>
      </w:r>
    </w:p>
    <w:p>
      <w:pPr>
        <w:pStyle w:val="Body"/>
        <w:rPr/>
      </w:pPr>
      <w:r>
        <w:rPr/>
        <w:t>Under the Toll Conversion Agreement, EGM will pay EOTT a conversion fee of approximately $0.27 per gallon escalating to $0.34 per gallon by 2011 to convert methanol, normal butane, natural gas and isobutane return stream (collectively “feedstocks”) into MTBE and other associated products (collectively “products”).  The minimum quarterly conversion amounts are stated amounts provided in a schedule to the agreement.  EGLI nominates its expected quarterly feedstock volumes 30 days prior to the start of any calendar quarter and nominates actual monthly feedstock volumes during the quarter 5 days prior to the start of any month.  After such monthly nomination, EOTT must schedule the delivery point for the feedstocks and products within a set amount of time depending on the product.  The delivery points are are either at the MTBE plant purchased by EOTT or a liquid delivery point for each of the related feedstocks or products.  The yield factors are agreed to in the contract and EOTT is at risk for any additional feedstock required due to inefficient yields.  EOTT is at risk of loss for feedstocks received and at risk for converted products until delivered to EGLI.  EOTT owes market based damages for volumes not converted and delivered and is not excused performance due to force majeure.</w:t>
      </w:r>
    </w:p>
    <w:p>
      <w:pPr>
        <w:pStyle w:val="Body"/>
        <w:rPr/>
      </w:pPr>
      <w:r>
        <w:rPr/>
      </w:r>
    </w:p>
    <w:p>
      <w:pPr>
        <w:pStyle w:val="Body"/>
        <w:rPr/>
      </w:pPr>
      <w:r>
        <w:rPr/>
        <w:t>EGLI has an option to convert the products under the agreement from MTBE to isooctane, isobutylene, isobutane or other products and a corresponding change in feedstocks.  The adjusted conversion cost will be fixed and calculated to reflect (1) a market rate of return to EOTT consistent with the initial agreement on the sum of a) the amount a contractor would cost to convert EOTT’s MTBE facility to provide isoctane instead of MTBE (based on a bona fide turnkey construction bid), and b) the termination amount, reduced by $20 million, that would have been due under the initial agreement at the time of conversion, plus (2) commercially reasonable operating and maintenance costs for a converted facility as determined by an independent third party.</w:t>
      </w:r>
    </w:p>
    <w:p>
      <w:pPr>
        <w:pStyle w:val="Body"/>
        <w:rPr/>
      </w:pPr>
      <w:r>
        <w:rPr/>
      </w:r>
    </w:p>
    <w:p>
      <w:pPr>
        <w:pStyle w:val="Body"/>
        <w:rPr/>
      </w:pPr>
      <w:r>
        <w:rPr/>
        <w:t>Under the Mont Belvieu Storage Capacity Purchase Agreement, EGLI will purchase from EOTT firm capacity in each of the wells in the Mont Belvieu Storage facility and pay to EOTT capacity and throughput fees.  EGLI’s capacity in each well is a fixed volumes as listed in a chedule to the agreement and the fees are also fixed and stated in a schedule to the agreement.  EOTT is responsible for the operation and maintenance of the facility.  EGLI retains title to all products in storage.  EOTT is excused performance during events of force majeure, but is required to pay cost to cover damages in all other events of non-performance.</w:t>
      </w:r>
    </w:p>
    <w:p>
      <w:pPr>
        <w:pStyle w:val="Body"/>
        <w:rPr/>
      </w:pPr>
      <w:r>
        <w:rPr/>
      </w:r>
    </w:p>
    <w:p>
      <w:pPr>
        <w:pStyle w:val="Body"/>
        <w:rPr/>
      </w:pPr>
      <w:r>
        <w:rPr/>
        <w:t>The current U.S. production and existing stock of MTBE are largely concentrated in the Gulf Coast region that includes the MTBE plant and storage facility referenced in this discussion.  Nationwide and Gulf Coast production for the year 2000 and the first four months of 2001 are as follows:</w:t>
      </w:r>
    </w:p>
    <w:p>
      <w:pPr>
        <w:pStyle w:val="Body"/>
        <w:rPr/>
      </w:pPr>
      <w:r>
        <w:rPr/>
      </w:r>
    </w:p>
    <w:p>
      <w:pPr>
        <w:pStyle w:val="Heading7"/>
        <w:ind w:hanging="0" w:start="0"/>
        <w:jc w:val="center"/>
        <w:rPr>
          <w:color w:val="000080"/>
        </w:rPr>
      </w:pPr>
      <w:r>
        <w:rPr>
          <w:color w:val="000080"/>
        </w:rPr>
        <w:t xml:space="preserve">Monthly Methyl Tertiary Butyl Ether (MTBE) Production, and Stocks </w:t>
      </w:r>
    </w:p>
    <w:p>
      <w:pPr>
        <w:pStyle w:val="Heading7"/>
        <w:ind w:hanging="0" w:start="0"/>
        <w:jc w:val="center"/>
        <w:rPr>
          <w:color w:val="000080"/>
        </w:rPr>
      </w:pPr>
      <w:r>
        <w:rPr>
          <w:color w:val="000080"/>
        </w:rPr>
        <w:t>by Petroleum Administration for Defense Districts (PADD)</w:t>
      </w:r>
    </w:p>
    <w:p>
      <w:pPr>
        <w:pStyle w:val="Normal"/>
        <w:tabs>
          <w:tab w:val="clear" w:pos="540"/>
        </w:tabs>
        <w:overflowPunct w:val="true"/>
        <w:jc w:val="center"/>
        <w:textAlignment w:val="auto"/>
        <w:rPr>
          <w:rFonts w:cs="Arial"/>
          <w:b/>
          <w:bCs/>
          <w:color w:val="000080"/>
          <w:sz w:val="16"/>
        </w:rPr>
      </w:pPr>
      <w:r>
        <w:rPr>
          <w:rFonts w:cs="Arial"/>
          <w:b/>
          <w:bCs/>
          <w:color w:val="000080"/>
          <w:sz w:val="16"/>
        </w:rPr>
        <w:t>(Thousand Barrels per Day)</w:t>
      </w:r>
    </w:p>
    <w:p>
      <w:pPr>
        <w:pStyle w:val="Normal"/>
        <w:tabs>
          <w:tab w:val="clear" w:pos="540"/>
        </w:tabs>
        <w:overflowPunct w:val="true"/>
        <w:textAlignment w:val="auto"/>
        <w:rPr>
          <w:rFonts w:cs="Arial"/>
          <w:b/>
          <w:bCs/>
          <w:color w:val="000080"/>
          <w:sz w:val="15"/>
          <w:szCs w:val="15"/>
        </w:rPr>
      </w:pPr>
      <w:r>
        <w:rPr>
          <w:rFonts w:cs="Arial"/>
          <w:b/>
          <w:bCs/>
          <w:color w:val="000080"/>
          <w:sz w:val="15"/>
          <w:szCs w:val="15"/>
        </w:rPr>
      </w:r>
    </w:p>
    <w:tbl>
      <w:tblPr>
        <w:tblW w:w="10152" w:type="dxa"/>
        <w:jc w:val="start"/>
        <w:tblInd w:w="0" w:type="dxa"/>
        <w:tblLayout w:type="fixed"/>
        <w:tblCellMar>
          <w:top w:w="0" w:type="dxa"/>
          <w:start w:w="108" w:type="dxa"/>
          <w:bottom w:w="0" w:type="dxa"/>
          <w:end w:w="108" w:type="dxa"/>
        </w:tblCellMar>
      </w:tblPr>
      <w:tblGrid>
        <w:gridCol w:w="1808"/>
        <w:gridCol w:w="695"/>
        <w:gridCol w:w="695"/>
        <w:gridCol w:w="696"/>
        <w:gridCol w:w="695"/>
        <w:gridCol w:w="695"/>
        <w:gridCol w:w="696"/>
        <w:gridCol w:w="695"/>
        <w:gridCol w:w="695"/>
        <w:gridCol w:w="696"/>
        <w:gridCol w:w="695"/>
        <w:gridCol w:w="695"/>
        <w:gridCol w:w="696"/>
      </w:tblGrid>
      <w:tr>
        <w:trPr/>
        <w:tc>
          <w:tcPr>
            <w:tcW w:w="1808" w:type="dxa"/>
            <w:tcBorders>
              <w:top w:val="single" w:sz="12" w:space="0" w:color="000000"/>
              <w:start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000000"/>
                <w:sz w:val="15"/>
                <w:szCs w:val="15"/>
              </w:rPr>
            </w:pPr>
            <w:r>
              <w:rPr>
                <w:rFonts w:cs="Arial"/>
                <w:b/>
                <w:bCs/>
                <w:i/>
                <w:iCs/>
                <w:color w:val="000000"/>
                <w:sz w:val="15"/>
                <w:szCs w:val="15"/>
              </w:rPr>
              <w:t>District/Months</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Jan</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Feb</w:t>
            </w:r>
          </w:p>
        </w:tc>
        <w:tc>
          <w:tcPr>
            <w:tcW w:w="696"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Mar</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April</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May</w:t>
            </w:r>
          </w:p>
        </w:tc>
        <w:tc>
          <w:tcPr>
            <w:tcW w:w="696"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Jun</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Jul</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Aug</w:t>
            </w:r>
          </w:p>
        </w:tc>
        <w:tc>
          <w:tcPr>
            <w:tcW w:w="696"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Sep</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Oct</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Nov</w:t>
            </w:r>
          </w:p>
        </w:tc>
        <w:tc>
          <w:tcPr>
            <w:tcW w:w="696" w:type="dxa"/>
            <w:tcBorders>
              <w:top w:val="single" w:sz="12" w:space="0" w:color="000000"/>
              <w:bottom w:val="single" w:sz="6" w:space="0" w:color="000000"/>
              <w:end w:val="single" w:sz="12"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Dec</w:t>
            </w:r>
          </w:p>
        </w:tc>
      </w:tr>
      <w:tr>
        <w:trPr/>
        <w:tc>
          <w:tcPr>
            <w:tcW w:w="1808" w:type="dxa"/>
            <w:tcBorders>
              <w:top w:val="single" w:sz="6" w:space="0" w:color="000000"/>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Total US Production</w:t>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207</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213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233</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242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226</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209</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210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192</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160</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142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188</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228</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Stocks (thous. bbls.)</w:t>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9,211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10,265</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8,906</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7,888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8,456</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8,234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7,649</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7,394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9,552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9,722</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7,245</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7,915</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7,958</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8,428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7,965</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Gulf Coast (PADD III) Production</w:t>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178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182</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204</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212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195</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199</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185</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171</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139</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122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165</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179</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198</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Stocks (thous. bbls.)</w:t>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4,223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4,881</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4,137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3,577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3,529</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3,586</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3,728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4,315</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3,867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4,762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4,905</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3,880</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3,564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3,590</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4,574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4,028</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bottom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bl>
    <w:p>
      <w:pPr>
        <w:pStyle w:val="Normal"/>
        <w:tabs>
          <w:tab w:val="clear" w:pos="540"/>
        </w:tabs>
        <w:overflowPunct w:val="true"/>
        <w:textAlignment w:val="auto"/>
        <w:rPr>
          <w:rFonts w:cs="Arial"/>
          <w:sz w:val="15"/>
          <w:szCs w:val="15"/>
        </w:rPr>
      </w:pPr>
      <w:r>
        <w:rPr>
          <w:rFonts w:cs="Arial"/>
          <w:sz w:val="15"/>
          <w:szCs w:val="15"/>
        </w:rPr>
      </w:r>
    </w:p>
    <w:p>
      <w:pPr>
        <w:pStyle w:val="Normal"/>
        <w:tabs>
          <w:tab w:val="clear" w:pos="540"/>
        </w:tabs>
        <w:overflowPunct w:val="true"/>
        <w:textAlignment w:val="auto"/>
        <w:rPr>
          <w:rFonts w:cs="Arial"/>
          <w:sz w:val="15"/>
          <w:szCs w:val="15"/>
        </w:rPr>
      </w:pPr>
      <w:r>
        <w:rPr>
          <w:rFonts w:cs="Arial"/>
          <w:sz w:val="15"/>
          <w:szCs w:val="15"/>
        </w:rPr>
        <w:t>See Exhibit A: Energy Information Administration (EIA) Form EIA-819M, “Monthly Oxygenate Telephone Report. ”</w:t>
      </w:r>
    </w:p>
    <w:p>
      <w:pPr>
        <w:pStyle w:val="Normal"/>
        <w:tabs>
          <w:tab w:val="clear" w:pos="540"/>
        </w:tabs>
        <w:overflowPunct w:val="true"/>
        <w:textAlignment w:val="auto"/>
        <w:rPr>
          <w:rFonts w:cs="Arial"/>
          <w:sz w:val="15"/>
          <w:szCs w:val="15"/>
        </w:rPr>
      </w:pPr>
      <w:r>
        <w:rPr>
          <w:rFonts w:cs="Arial"/>
          <w:sz w:val="15"/>
          <w:szCs w:val="15"/>
        </w:rPr>
      </w:r>
    </w:p>
    <w:p>
      <w:pPr>
        <w:pStyle w:val="Body"/>
        <w:ind w:start="0" w:end="0"/>
        <w:rPr/>
      </w:pPr>
      <w:r>
        <w:rPr/>
        <w:t xml:space="preserve">The Gulf Coast represented 87% and 88% of the nationwide production of MTBE for 2001 through April and 2000, respectively.  The production from Enron’s MTBE plant represents approximately 8-12% of the Gulf Coast production. </w:t>
      </w:r>
    </w:p>
    <w:p>
      <w:pPr>
        <w:pStyle w:val="Body"/>
        <w:ind w:start="0" w:end="0"/>
        <w:rPr/>
      </w:pPr>
      <w:r>
        <w:rPr/>
      </w:r>
    </w:p>
    <w:p>
      <w:pPr>
        <w:pStyle w:val="Body"/>
        <w:rPr/>
      </w:pPr>
      <w:r>
        <w:rPr/>
      </w:r>
    </w:p>
    <w:p>
      <w:pPr>
        <w:pStyle w:val="Body"/>
        <w:rPr/>
      </w:pPr>
      <w:r>
        <w:rPr/>
      </w:r>
    </w:p>
    <w:p>
      <w:pPr>
        <w:pStyle w:val="Body"/>
        <w:rPr>
          <w:b/>
          <w:bCs/>
          <w:u w:val="single"/>
        </w:rPr>
      </w:pPr>
      <w:r>
        <w:rPr>
          <w:b/>
          <w:bCs/>
          <w:u w:val="single"/>
        </w:rPr>
        <w:t>Issues:</w:t>
      </w:r>
    </w:p>
    <w:p>
      <w:pPr>
        <w:pStyle w:val="Body"/>
        <w:rPr>
          <w:b/>
          <w:bCs/>
          <w:u w:val="single"/>
        </w:rPr>
      </w:pPr>
      <w:r>
        <w:rPr>
          <w:b/>
          <w:bCs/>
          <w:u w:val="single"/>
        </w:rPr>
      </w:r>
    </w:p>
    <w:p>
      <w:pPr>
        <w:pStyle w:val="Body"/>
        <w:numPr>
          <w:ilvl w:val="0"/>
          <w:numId w:val="2"/>
        </w:numPr>
        <w:rPr/>
      </w:pPr>
      <w:r>
        <w:rPr/>
        <w:t>How should EOTT account for the acquisition of the facilities in a stock purchase?</w:t>
      </w:r>
    </w:p>
    <w:p>
      <w:pPr>
        <w:pStyle w:val="Body"/>
        <w:numPr>
          <w:ilvl w:val="0"/>
          <w:numId w:val="2"/>
        </w:numPr>
        <w:rPr/>
      </w:pPr>
      <w:r>
        <w:rPr/>
        <w:t>How should EOTT account for the acquisition of the facilities in an asset purchase?</w:t>
      </w:r>
    </w:p>
    <w:p>
      <w:pPr>
        <w:pStyle w:val="Body"/>
        <w:numPr>
          <w:ilvl w:val="0"/>
          <w:numId w:val="2"/>
        </w:numPr>
        <w:rPr/>
      </w:pPr>
      <w:r>
        <w:rPr/>
        <w:t>How should EOTT account for the Toll Conversion Agreement?</w:t>
      </w:r>
    </w:p>
    <w:p>
      <w:pPr>
        <w:pStyle w:val="Body"/>
        <w:numPr>
          <w:ilvl w:val="0"/>
          <w:numId w:val="2"/>
        </w:numPr>
        <w:rPr/>
      </w:pPr>
      <w:r>
        <w:rPr/>
        <w:t>How should EOTT account for the Mont Belvieu Storage Capacity Purchase Agreement?</w:t>
      </w:r>
    </w:p>
    <w:p>
      <w:pPr>
        <w:pStyle w:val="Body"/>
        <w:rPr/>
      </w:pPr>
      <w:r>
        <w:rPr/>
      </w:r>
    </w:p>
    <w:p>
      <w:pPr>
        <w:pStyle w:val="Body"/>
        <w:rPr>
          <w:b/>
          <w:bCs/>
          <w:u w:val="single"/>
        </w:rPr>
      </w:pPr>
      <w:r>
        <w:rPr>
          <w:b/>
          <w:bCs/>
          <w:u w:val="single"/>
        </w:rPr>
        <w:t>Authoritative Literature</w:t>
      </w:r>
    </w:p>
    <w:p>
      <w:pPr>
        <w:pStyle w:val="Body"/>
        <w:rPr>
          <w:b/>
          <w:bCs/>
          <w:u w:val="single"/>
        </w:rPr>
      </w:pPr>
      <w:r>
        <w:rPr>
          <w:b/>
          <w:bCs/>
          <w:u w:val="single"/>
        </w:rPr>
      </w:r>
    </w:p>
    <w:p>
      <w:pPr>
        <w:pStyle w:val="Body"/>
        <w:rPr/>
      </w:pPr>
      <w:r>
        <w:rPr>
          <w:b/>
          <w:bCs/>
        </w:rPr>
        <w:t xml:space="preserve">FAS 13, </w:t>
      </w:r>
      <w:r>
        <w:rPr/>
        <w:t>“Accounting for Leases”</w:t>
      </w:r>
    </w:p>
    <w:p>
      <w:pPr>
        <w:pStyle w:val="Body"/>
        <w:rPr/>
      </w:pPr>
      <w:r>
        <w:rPr>
          <w:b/>
          <w:bCs/>
        </w:rPr>
        <w:t xml:space="preserve">Arthur Andersen, </w:t>
      </w:r>
      <w:r>
        <w:rPr>
          <w:u w:val="single"/>
        </w:rPr>
        <w:t>Accounting for Leases, Interpretations of FASB Statement No.13</w:t>
      </w:r>
    </w:p>
    <w:p>
      <w:pPr>
        <w:pStyle w:val="Body"/>
        <w:rPr/>
      </w:pPr>
      <w:r>
        <w:rPr>
          <w:b/>
          <w:bCs/>
        </w:rPr>
        <w:t xml:space="preserve">SFAS 133, </w:t>
      </w:r>
      <w:r>
        <w:rPr/>
        <w:t>“Accounting for Derivatives”</w:t>
      </w:r>
    </w:p>
    <w:p>
      <w:pPr>
        <w:pStyle w:val="Body"/>
        <w:rPr/>
      </w:pPr>
      <w:r>
        <w:rPr>
          <w:b/>
          <w:bCs/>
        </w:rPr>
        <w:t xml:space="preserve">Arthur Andersen, </w:t>
      </w:r>
      <w:r>
        <w:rPr/>
        <w:t>“Derivatives and Hedging”</w:t>
      </w:r>
    </w:p>
    <w:p>
      <w:pPr>
        <w:pStyle w:val="Body"/>
        <w:rPr/>
      </w:pPr>
      <w:r>
        <w:rPr>
          <w:b/>
          <w:bCs/>
        </w:rPr>
        <w:t xml:space="preserve">EITF 98-10, </w:t>
      </w:r>
      <w:r>
        <w:rPr/>
        <w:t>“Accounting for Contracts Involved in Energy Trading and Risk Management Activities”</w:t>
      </w:r>
    </w:p>
    <w:p>
      <w:pPr>
        <w:pStyle w:val="Body"/>
        <w:rPr/>
      </w:pPr>
      <w:r>
        <w:rPr>
          <w:b/>
          <w:bCs/>
        </w:rPr>
        <w:t xml:space="preserve">APB No. 16, </w:t>
      </w:r>
      <w:r>
        <w:rPr/>
        <w:t>“Accounting for Business Combinations”</w:t>
      </w:r>
    </w:p>
    <w:p>
      <w:pPr>
        <w:pStyle w:val="Body"/>
        <w:rPr/>
      </w:pPr>
      <w:r>
        <w:rPr>
          <w:b/>
          <w:bCs/>
        </w:rPr>
        <w:t xml:space="preserve">Arthur Andersen, </w:t>
      </w:r>
      <w:r>
        <w:rPr>
          <w:u w:val="single"/>
        </w:rPr>
        <w:t>Accounting for Business Combinations, Interpretations of APB No. 16</w:t>
      </w:r>
    </w:p>
    <w:p>
      <w:pPr>
        <w:pStyle w:val="Body"/>
        <w:rPr/>
      </w:pPr>
      <w:r>
        <w:rPr>
          <w:b/>
          <w:bCs/>
        </w:rPr>
        <w:t xml:space="preserve">EITF 98-3, </w:t>
      </w:r>
      <w:r>
        <w:rPr/>
        <w:t>“Determining Whether a Nonmonetary Transaction Involves Receipt of Productive Assets or of a Business”</w:t>
      </w:r>
    </w:p>
    <w:p>
      <w:pPr>
        <w:pStyle w:val="Body"/>
        <w:rPr/>
      </w:pPr>
      <w:r>
        <w:rPr>
          <w:b/>
          <w:bCs/>
        </w:rPr>
        <w:t xml:space="preserve">FASB Staff Implementation Guidance – Derivatives Implementation Group Issue A-8, </w:t>
      </w:r>
      <w:r>
        <w:rPr/>
        <w:t>“Definition of a Derivative:  Asymmetrical Default Provisions”</w:t>
      </w:r>
    </w:p>
    <w:p>
      <w:pPr>
        <w:pStyle w:val="Body"/>
        <w:rPr>
          <w:u w:val="single"/>
        </w:rPr>
      </w:pPr>
      <w:r>
        <w:rPr>
          <w:b/>
          <w:bCs/>
        </w:rPr>
        <w:t xml:space="preserve">FASB Staff Implementation Guidance – Derivatives Implementation Group Issue A-7, </w:t>
      </w:r>
      <w:r>
        <w:rPr/>
        <w:t>“Definition of a Derivative:  Effect of Contractual Provisions on the Existence of a Market Mechanism that Facilitates Net Settlement”</w:t>
      </w:r>
    </w:p>
    <w:p>
      <w:pPr>
        <w:pStyle w:val="Body"/>
        <w:rPr>
          <w:u w:val="single"/>
        </w:rPr>
      </w:pPr>
      <w:r>
        <w:rPr>
          <w:u w:val="single"/>
        </w:rPr>
      </w:r>
    </w:p>
    <w:p>
      <w:pPr>
        <w:pStyle w:val="Body"/>
        <w:rPr>
          <w:u w:val="single"/>
        </w:rPr>
      </w:pPr>
      <w:r>
        <w:rPr>
          <w:u w:val="single"/>
        </w:rPr>
      </w:r>
    </w:p>
    <w:p>
      <w:pPr>
        <w:pStyle w:val="Body"/>
        <w:rPr>
          <w:b/>
          <w:bCs/>
          <w:u w:val="single"/>
        </w:rPr>
      </w:pPr>
      <w:r>
        <w:rPr>
          <w:b/>
          <w:bCs/>
          <w:u w:val="single"/>
        </w:rPr>
        <w:t>Discussion and Conclusions</w:t>
      </w:r>
    </w:p>
    <w:p>
      <w:pPr>
        <w:pStyle w:val="Body"/>
        <w:rPr>
          <w:b/>
          <w:bCs/>
          <w:u w:val="single"/>
        </w:rPr>
      </w:pPr>
      <w:r>
        <w:rPr>
          <w:b/>
          <w:bCs/>
          <w:u w:val="single"/>
        </w:rPr>
      </w:r>
    </w:p>
    <w:p>
      <w:pPr>
        <w:pStyle w:val="Body"/>
        <w:rPr>
          <w:u w:val="single"/>
        </w:rPr>
      </w:pPr>
      <w:r>
        <w:rPr>
          <w:u w:val="single"/>
        </w:rPr>
        <w:t>Issue 1:  How should EOTT account for the acquisition of the facilities in a stock sale?</w:t>
      </w:r>
    </w:p>
    <w:p>
      <w:pPr>
        <w:pStyle w:val="Body"/>
        <w:rPr>
          <w:b/>
          <w:bCs/>
          <w:u w:val="single"/>
        </w:rPr>
      </w:pPr>
      <w:r>
        <w:rPr>
          <w:b/>
          <w:bCs/>
          <w:u w:val="single"/>
        </w:rPr>
      </w:r>
    </w:p>
    <w:p>
      <w:pPr>
        <w:pStyle w:val="Body"/>
        <w:rPr/>
      </w:pPr>
      <w:r>
        <w:rPr/>
        <w:t>Under APB 16, a business combination occurs when a corporation and one or more incorporated or unincorporated businesses are brought together into one accounting entity.  The single entity carries on the activities of the previously separate, independent enterprises.  Since EOTT is purchasing the stock of EGP Fuels which contains the MTBE and storage businesses, the transaction should be treated as a business combination under APB 16.</w:t>
      </w:r>
    </w:p>
    <w:p>
      <w:pPr>
        <w:pStyle w:val="Body"/>
        <w:rPr/>
      </w:pPr>
      <w:r>
        <w:rPr/>
      </w:r>
    </w:p>
    <w:p>
      <w:pPr>
        <w:pStyle w:val="Body"/>
        <w:rPr/>
      </w:pPr>
      <w:r>
        <w:rPr/>
        <w:t>In AA’s interpretations of APB 16, Interpretation 5-11 addresses combinations of entities under common control or common ownership.  In the interpretation, when two or more entities have shareholders in common, the entities are said to have common ownership.  Common ownership differs from common control in that entities under common control have the same controlling shareholder.  In our situation, Enron controls EGP Fuels, but does not control EOTT and therefore the entities are under common ownership rather than common control.  When entities are under common ownership, but not under common control, a combination of the entities should be reflected at historical cost only when the common ownership is identical.  That is not the case in our situation since Enron owns 100% of EGP Fuels and approximately 37% of EOTT.  When entities are under common ownership that is not identical, the accounting for the business combination should be at fair value, unless the accounting acquirer (EOTT) has a control shareholder or group that also owns a portion of the other entity (EGP Fuels).  Since EOTT does not have a control shareholder or group, the transaction should be accounted for by EOTT at fair value.</w:t>
      </w:r>
    </w:p>
    <w:p>
      <w:pPr>
        <w:pStyle w:val="Body"/>
        <w:rPr/>
      </w:pPr>
      <w:r>
        <w:rPr/>
      </w:r>
    </w:p>
    <w:p>
      <w:pPr>
        <w:pStyle w:val="Body"/>
        <w:rPr>
          <w:u w:val="single"/>
        </w:rPr>
      </w:pPr>
      <w:r>
        <w:rPr>
          <w:u w:val="single"/>
        </w:rPr>
        <w:t>Issue 2:  How should EOTT account for the acquisition of the facilities in an asset sale?</w:t>
      </w:r>
    </w:p>
    <w:p>
      <w:pPr>
        <w:pStyle w:val="Body"/>
        <w:rPr>
          <w:u w:val="single"/>
        </w:rPr>
      </w:pPr>
      <w:r>
        <w:rPr>
          <w:u w:val="single"/>
        </w:rPr>
      </w:r>
    </w:p>
    <w:p>
      <w:pPr>
        <w:pStyle w:val="Body"/>
        <w:rPr/>
      </w:pPr>
      <w:r>
        <w:rPr/>
        <w:t>Under APB 16, a business combination occurs when a corporation and one or more incorporated or unincorporated businesses are brought together into one accounting entity.  The single entity carries on the activities of the previously separate, independent enterprises.  Since we would propose to sell several assets in a group, we must look to the group of assets being sold to determine if it meets the definition of a business under EITF 98-3 in order to determine if the purchase should be treated as a business combination or a normal asset purchase.</w:t>
      </w:r>
    </w:p>
    <w:p>
      <w:pPr>
        <w:pStyle w:val="Body"/>
        <w:rPr/>
      </w:pPr>
      <w:r>
        <w:rPr/>
      </w:r>
    </w:p>
    <w:p>
      <w:pPr>
        <w:pStyle w:val="Body"/>
        <w:rPr/>
      </w:pPr>
      <w:r>
        <w:rPr/>
        <w:t>Under EITF 98-3, a business is a self-containing set of activities and assets conducted and managed for the purpose of providing a return to investors.  A business consists of inputs, processes applied to the inputs and resulting outputs used to generate revenues.  For a transferred set of activities and assets to be a business, it must contain all of the inputs necessary for it to continue to conduct normal operations after the transferred set is separated from the transferor, which includes the ability to sustain a revenue stream by providing its outputs to customers.</w:t>
      </w:r>
    </w:p>
    <w:p>
      <w:pPr>
        <w:pStyle w:val="Body"/>
        <w:rPr/>
      </w:pPr>
      <w:r>
        <w:rPr/>
      </w:r>
    </w:p>
    <w:p>
      <w:pPr>
        <w:pStyle w:val="Body"/>
        <w:rPr/>
      </w:pPr>
      <w:r>
        <w:rPr/>
        <w:t xml:space="preserve">The answer to this question will depend on the ultimate group of assets sold which is still unknown at this time.  However, since the facilities will be purchased at the previous book value and a fairness opinion will be obtained for this amount, the accounting as a normal purchase of assets is not expected to be materially different than if the transaction were treated as a purchase business combination under APB 16.   </w:t>
      </w:r>
    </w:p>
    <w:p>
      <w:pPr>
        <w:pStyle w:val="Body"/>
        <w:rPr>
          <w:u w:val="single"/>
        </w:rPr>
      </w:pPr>
      <w:r>
        <w:rPr>
          <w:u w:val="single"/>
        </w:rPr>
      </w:r>
    </w:p>
    <w:p>
      <w:pPr>
        <w:pStyle w:val="Body"/>
        <w:rPr>
          <w:u w:val="single"/>
        </w:rPr>
      </w:pPr>
      <w:r>
        <w:rPr>
          <w:u w:val="single"/>
        </w:rPr>
        <w:t>Issue 3:  How should EOTT account for the Toll Conversion Agreement?</w:t>
      </w:r>
    </w:p>
    <w:p>
      <w:pPr>
        <w:pStyle w:val="Body"/>
        <w:rPr>
          <w:u w:val="single"/>
        </w:rPr>
      </w:pPr>
      <w:r>
        <w:rPr>
          <w:u w:val="single"/>
        </w:rPr>
      </w:r>
    </w:p>
    <w:p>
      <w:pPr>
        <w:pStyle w:val="Body"/>
        <w:rPr/>
      </w:pPr>
      <w:r>
        <w:rPr/>
        <w:t>Under SFAS 13, “Accounting for Leases”, a lease is defined as an agreement conveying the right to use property, plant or equipment (land and/or depreciable assets) usually for a stated period of time.  It includes agreements that, although not nominally identified as leases, meet the above definition, such as a “heat supply contract” for nuclear fuel.  Arthur Andersen’s interpretation 1-4 of SFAS 13 addresses long-term power purchase contracts and states that when (a) the seller of power under such a contract is a substantive entity, (b) the seller’s performance (that is, the obligation to deliver power) is not dependent on the operation of a particular power plant or group of power plants, and (c) the contracts require the seller to pay substantive damages in the event it does not perform, the power purchase contract should not be accounted for as a lease.</w:t>
      </w:r>
    </w:p>
    <w:p>
      <w:pPr>
        <w:pStyle w:val="Body"/>
        <w:rPr/>
      </w:pPr>
      <w:r>
        <w:rPr/>
      </w:r>
    </w:p>
    <w:p>
      <w:pPr>
        <w:pStyle w:val="Body"/>
        <w:rPr>
          <w:i/>
          <w:i/>
          <w:iCs/>
        </w:rPr>
      </w:pPr>
      <w:r>
        <w:rPr>
          <w:i/>
          <w:iCs/>
        </w:rPr>
        <w:t>In our transaction, the seller is EOTT, which is a substantive entity that is publicly traded.  EOTT’s performance is not dependent on a particular plant or group of plants since it can receive all of its feedstocks and deliver its products at either the flange of the plant it owns or another liquid point (i.e. Houston Ship Channel for gas) for each of the products.  EOTT is required to pay substantive damages in the form of quarterly market based damages in the event that it does not perform.  Based on the discussion above, the contract does not qualify as a lease under SFAS 13.</w:t>
      </w:r>
    </w:p>
    <w:p>
      <w:pPr>
        <w:pStyle w:val="Body"/>
        <w:rPr>
          <w:i/>
          <w:i/>
          <w:iCs/>
        </w:rPr>
      </w:pPr>
      <w:r>
        <w:rPr>
          <w:i/>
          <w:iCs/>
        </w:rPr>
      </w:r>
    </w:p>
    <w:p>
      <w:pPr>
        <w:pStyle w:val="Body"/>
        <w:rPr/>
      </w:pPr>
      <w:r>
        <w:rPr/>
        <w:t>Paragraph 6 of SFAS 133 defines a derivative instrument as a financial instrument or other contract with all three of the following criteria:</w:t>
      </w:r>
    </w:p>
    <w:p>
      <w:pPr>
        <w:pStyle w:val="Body"/>
        <w:rPr/>
      </w:pPr>
      <w:r>
        <w:rPr/>
      </w:r>
    </w:p>
    <w:p>
      <w:pPr>
        <w:pStyle w:val="Body"/>
        <w:numPr>
          <w:ilvl w:val="0"/>
          <w:numId w:val="6"/>
        </w:numPr>
        <w:rPr/>
      </w:pPr>
      <w:r>
        <w:rPr/>
        <w:t>It has (1) one or more underlyings and (2) one or more notional amounts or payment provisions or both.  Those terms determine the amount of the settlement or settlements, and, in some cases, whether or not a settlement is required.</w:t>
      </w:r>
    </w:p>
    <w:p>
      <w:pPr>
        <w:pStyle w:val="Body"/>
        <w:rPr/>
      </w:pPr>
      <w:r>
        <w:rPr/>
      </w:r>
    </w:p>
    <w:p>
      <w:pPr>
        <w:pStyle w:val="Body"/>
        <w:numPr>
          <w:ilvl w:val="0"/>
          <w:numId w:val="6"/>
        </w:numPr>
        <w:rPr/>
      </w:pPr>
      <w:r>
        <w:rPr/>
        <w:t>It requires no initial net investment or an initial net investment that is smaller than would be required for other types of contracts that would be expected to have a similar response to changes in market factors.</w:t>
      </w:r>
    </w:p>
    <w:p>
      <w:pPr>
        <w:pStyle w:val="Body"/>
        <w:ind w:start="0" w:end="0"/>
        <w:rPr/>
      </w:pPr>
      <w:r>
        <w:rPr/>
      </w:r>
    </w:p>
    <w:p>
      <w:pPr>
        <w:pStyle w:val="Body"/>
        <w:numPr>
          <w:ilvl w:val="0"/>
          <w:numId w:val="6"/>
        </w:numPr>
        <w:rPr/>
      </w:pPr>
      <w:r>
        <w:rPr/>
        <w:t>Its terms require or permit net settlement, it can be readily settled net by a means outside the contract, or it provides for delivery of an asset that puts the recipient in a position not substantially different from net settlement.</w:t>
      </w:r>
    </w:p>
    <w:p>
      <w:pPr>
        <w:pStyle w:val="Body"/>
        <w:rPr/>
      </w:pPr>
      <w:r>
        <w:rPr/>
      </w:r>
    </w:p>
    <w:p>
      <w:pPr>
        <w:pStyle w:val="Body"/>
        <w:rPr/>
      </w:pPr>
      <w:r>
        <w:rPr/>
        <w:t>Paragraph 9 expands on the criteria on paragraph 6(c) and states that a contract fits the description in paragraph 6(c) if its settlement provisions meet one of the following criteria:</w:t>
      </w:r>
    </w:p>
    <w:p>
      <w:pPr>
        <w:pStyle w:val="Body"/>
        <w:rPr/>
      </w:pPr>
      <w:r>
        <w:rPr/>
      </w:r>
    </w:p>
    <w:p>
      <w:pPr>
        <w:pStyle w:val="Normal"/>
        <w:numPr>
          <w:ilvl w:val="0"/>
          <w:numId w:val="5"/>
        </w:numPr>
        <w:tabs>
          <w:tab w:val="clear" w:pos="540"/>
        </w:tabs>
        <w:overflowPunct w:val="true"/>
        <w:autoSpaceDE w:val="true"/>
        <w:textAlignment w:val="auto"/>
        <w:rPr>
          <w:rFonts w:cs="Arial"/>
          <w:i/>
          <w:i/>
          <w:iCs/>
          <w:color w:val="000080"/>
          <w:sz w:val="20"/>
        </w:rPr>
      </w:pPr>
      <w:r>
        <w:rPr>
          <w:rFonts w:cs="Arial"/>
          <w:color w:val="000080"/>
          <w:sz w:val="20"/>
        </w:rPr>
        <w:t xml:space="preserve">Neither party is required to deliver an asset that is associated with the underlying or that has a principal amount, stated amount, face value, number of shares, or other denomination that is equal to the notional amount (or the notional amount plus a premium or minus a discount).   </w:t>
      </w:r>
    </w:p>
    <w:p>
      <w:pPr>
        <w:pStyle w:val="Normal"/>
        <w:tabs>
          <w:tab w:val="clear" w:pos="540"/>
        </w:tabs>
        <w:overflowPunct w:val="true"/>
        <w:autoSpaceDE w:val="true"/>
        <w:ind w:start="360" w:end="0"/>
        <w:textAlignment w:val="auto"/>
        <w:rPr>
          <w:rFonts w:cs="Arial"/>
          <w:i/>
          <w:i/>
          <w:iCs/>
          <w:color w:val="000080"/>
          <w:sz w:val="20"/>
        </w:rPr>
      </w:pPr>
      <w:r>
        <w:rPr>
          <w:rFonts w:cs="Arial"/>
          <w:i/>
          <w:iCs/>
          <w:color w:val="000080"/>
          <w:sz w:val="20"/>
        </w:rPr>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t>Under FASB Staff Implementation Guidance in DIG Issue A8, the Staff concluded that a nonperformance penalty provision that requires the defaulting party to compensate the non-defaulting party for any loss incurred but does not allow the defaulting party to receive the effect of favorable price changes (herein referred to as an asymmetrical default provision) does not give a commodity forward contract the characteristic described as net settlement under paragraph 9(a) of Statement 133.  As this agreement has an asymmetrical default provision wherein nonperformance requires the defaulting party to compensate the nondefaulting party for any loss incurred but does not allow the defaulting party to receive the effect of favorable price changes, the contract does not contain the characteristics described in paragraph 9(a) to qualify as a net settlement.</w:t>
      </w:r>
    </w:p>
    <w:p>
      <w:pPr>
        <w:pStyle w:val="Normal"/>
        <w:tabs>
          <w:tab w:val="clear" w:pos="540"/>
        </w:tabs>
        <w:overflowPunct w:val="true"/>
        <w:autoSpaceDE w:val="true"/>
        <w:ind w:start="360" w:end="0"/>
        <w:textAlignment w:val="auto"/>
        <w:rPr>
          <w:rFonts w:cs="Arial"/>
          <w:i/>
          <w:i/>
          <w:iCs/>
          <w:color w:val="000080"/>
          <w:sz w:val="20"/>
        </w:rPr>
      </w:pPr>
      <w:r>
        <w:rPr>
          <w:rFonts w:cs="Arial"/>
          <w:i/>
          <w:iCs/>
          <w:color w:val="000080"/>
          <w:sz w:val="20"/>
        </w:rPr>
      </w:r>
    </w:p>
    <w:p>
      <w:pPr>
        <w:pStyle w:val="Normal"/>
        <w:numPr>
          <w:ilvl w:val="0"/>
          <w:numId w:val="5"/>
        </w:numPr>
        <w:tabs>
          <w:tab w:val="clear" w:pos="540"/>
        </w:tabs>
        <w:overflowPunct w:val="true"/>
        <w:autoSpaceDE w:val="true"/>
        <w:textAlignment w:val="auto"/>
        <w:rPr>
          <w:rFonts w:cs="Arial"/>
          <w:color w:val="000080"/>
          <w:sz w:val="20"/>
        </w:rPr>
      </w:pPr>
      <w:r>
        <w:rPr>
          <w:rFonts w:cs="Arial"/>
          <w:color w:val="000080"/>
          <w:sz w:val="20"/>
        </w:rPr>
        <w:t xml:space="preserve">One of the parties is required to deliver an asset of the type described in paragraph 9(a), but there is a market mechanism that facilitates net settlement, for example, an exchange that offers a ready opportunity to sell the contract or to enter into an offsetting contract.  </w:t>
      </w:r>
    </w:p>
    <w:p>
      <w:pPr>
        <w:pStyle w:val="Normal"/>
        <w:tabs>
          <w:tab w:val="clear" w:pos="540"/>
        </w:tabs>
        <w:overflowPunct w:val="true"/>
        <w:autoSpaceDE w:val="true"/>
        <w:ind w:start="360" w:end="0"/>
        <w:textAlignment w:val="auto"/>
        <w:rPr>
          <w:rFonts w:cs="Arial"/>
          <w:color w:val="000080"/>
          <w:sz w:val="20"/>
        </w:rPr>
      </w:pPr>
      <w:r>
        <w:rPr>
          <w:rFonts w:cs="Arial"/>
          <w:color w:val="000080"/>
          <w:sz w:val="20"/>
        </w:rPr>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t xml:space="preserve">We believe that the agreement does not qualify under paragraph 9(b) for two reasons.  First, there is no market mechanism for a contract of this duration.  The existing market consists of transactions primarily between three and nine months, but there is no market for ten year transactions.  </w:t>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r>
    </w:p>
    <w:p>
      <w:pPr>
        <w:pStyle w:val="Normal"/>
        <w:tabs>
          <w:tab w:val="clear" w:pos="540"/>
        </w:tabs>
        <w:overflowPunct w:val="true"/>
        <w:autoSpaceDE w:val="true"/>
        <w:ind w:start="720" w:end="0"/>
        <w:textAlignment w:val="auto"/>
        <w:rPr/>
      </w:pPr>
      <w:r>
        <w:rPr>
          <w:rFonts w:cs="Arial"/>
          <w:i/>
          <w:iCs/>
          <w:color w:val="000080"/>
          <w:sz w:val="20"/>
        </w:rPr>
        <w:t>Second, under this agreement, the contract will not be assignable by one party without consent from the other party.  This consent may be withheld for any reason (i.e. there is no “not to be unresonably withheld or delayed” language).   DIG Issue A-7 addresses if the existence of a contractual requirement that one party obtain the other party’s consent to assign rights or obligations to a third party under a contract, in and of itself, precludes a contract from meeting the definition of a derivative because it would not possess the net settlement characteristic described in paragraph 9(b) of SFAS 133 as a market mechanism.  The DIG concluded that an assignment clause, in and of itself, does not preclude the contract from possessing the net settlement characteristic described in paragraph 9(b) as a market mechanism, but that an assessment of the substance of the assignment clause is required in order to determine whether that assignment clause precludes a party from being relieved of all rights and obligations under the contract through the existing market mechanism.  The DIG Issue contemplates that most assignment clauses have the language “not to be unreasonably withheld” and that even with this language, it could preclude you from meeting the 9(b) criteria unless the chance of exercising the right is remote.  The group reasoned that the primary reason for withholding consent in an assignment with the “not to be unreasonably held” language would be the creditworthiness of the proposed assignee.  Therefore, the group believed that the determination under these circumstances requires assessing whether a sufficient number of acceptable potential assignees exists in the marketplace such that assignment of the contract would not result in imposing unacceptable credit risk or performance risk on the non-opposing parties.  However, if it is reasonably possible or probable that the counterparty will withhold permission to assign the contract, the contract is precluded from possessing the net settlement characteristic described in paragraph 9(b) as a market mechanism.  Given that consent in our agreement can be withheld for any reason, it is reasonably possible that the counterparty will withhold consent. Therefore, the contract does not contain</w:t>
      </w:r>
      <w:r>
        <w:rPr>
          <w:rFonts w:cs="Arial"/>
          <w:i/>
          <w:iCs/>
          <w:sz w:val="20"/>
        </w:rPr>
        <w:t xml:space="preserve"> </w:t>
      </w:r>
      <w:r>
        <w:rPr>
          <w:rFonts w:cs="Arial"/>
          <w:i/>
          <w:iCs/>
          <w:color w:val="000080"/>
          <w:sz w:val="20"/>
        </w:rPr>
        <w:t>the characteristics described in paragraph 9(b) to qualify as a net settlement.</w:t>
      </w:r>
    </w:p>
    <w:p>
      <w:pPr>
        <w:pStyle w:val="Normal"/>
        <w:tabs>
          <w:tab w:val="clear" w:pos="540"/>
        </w:tabs>
        <w:overflowPunct w:val="true"/>
        <w:autoSpaceDE w:val="true"/>
        <w:ind w:start="360" w:end="0"/>
        <w:textAlignment w:val="auto"/>
        <w:rPr>
          <w:rFonts w:eastAsia="Arial Unicode MS" w:cs="Arial"/>
          <w:i/>
          <w:i/>
          <w:iCs/>
          <w:color w:val="000080"/>
          <w:sz w:val="20"/>
          <w:szCs w:val="24"/>
        </w:rPr>
      </w:pPr>
      <w:r>
        <w:rPr>
          <w:rFonts w:eastAsia="Arial Unicode MS" w:cs="Arial"/>
          <w:i/>
          <w:iCs/>
          <w:color w:val="000080"/>
          <w:sz w:val="20"/>
          <w:szCs w:val="24"/>
        </w:rPr>
      </w:r>
    </w:p>
    <w:p>
      <w:pPr>
        <w:pStyle w:val="Normal"/>
        <w:numPr>
          <w:ilvl w:val="0"/>
          <w:numId w:val="5"/>
        </w:numPr>
        <w:tabs>
          <w:tab w:val="clear" w:pos="540"/>
        </w:tabs>
        <w:overflowPunct w:val="true"/>
        <w:autoSpaceDE w:val="true"/>
        <w:textAlignment w:val="auto"/>
        <w:rPr>
          <w:rFonts w:cs="Arial"/>
          <w:color w:val="000080"/>
          <w:sz w:val="20"/>
        </w:rPr>
      </w:pPr>
      <w:r>
        <w:rPr>
          <w:rFonts w:cs="Arial"/>
          <w:color w:val="000080"/>
          <w:sz w:val="20"/>
        </w:rPr>
        <w:t>One of the parties is required to deliver an asset of the type described in paragraph 9(a), but that asset is readily convertible to cash or is itself a derivative instrument. FASB Concepts Statement No. 5,</w:t>
      </w:r>
      <w:r>
        <w:rPr>
          <w:rFonts w:cs="Arial"/>
          <w:i/>
          <w:iCs/>
          <w:color w:val="000080"/>
          <w:sz w:val="20"/>
        </w:rPr>
        <w:t xml:space="preserve"> Recognition and Measurement in Financial Statements of Business Enterprises, </w:t>
      </w:r>
      <w:r>
        <w:rPr>
          <w:rFonts w:cs="Arial"/>
          <w:color w:val="000080"/>
          <w:sz w:val="20"/>
        </w:rPr>
        <w:t>states that assets that are readily convertible to cash "have (i) interchangeable (fungible) units and (ii) quoted prices available in an active market that can rapidly absorb the quantity held by the entity without significantly affecting the price"</w:t>
      </w:r>
      <w:r>
        <w:rPr>
          <w:rFonts w:cs="Arial"/>
          <w:b/>
          <w:bCs/>
          <w:i/>
          <w:iCs/>
          <w:color w:val="000080"/>
          <w:sz w:val="20"/>
        </w:rPr>
        <w:t xml:space="preserve"> </w:t>
      </w:r>
      <w:r>
        <w:rPr>
          <w:rFonts w:cs="Arial"/>
          <w:color w:val="000080"/>
          <w:sz w:val="20"/>
        </w:rPr>
        <w:t xml:space="preserve">(paragraph 83(a)). For contracts that involve multiple deliveries of the asset, the phrase </w:t>
      </w:r>
      <w:r>
        <w:rPr>
          <w:rFonts w:cs="Arial"/>
          <w:i/>
          <w:iCs/>
          <w:color w:val="000080"/>
          <w:sz w:val="20"/>
        </w:rPr>
        <w:t>in an active market that can rapidly absorb the quantity held by the entity</w:t>
      </w:r>
      <w:r>
        <w:rPr>
          <w:rFonts w:cs="Arial"/>
          <w:color w:val="000080"/>
          <w:sz w:val="20"/>
        </w:rPr>
        <w:t xml:space="preserve"> should be applied separately to the expected quantity in each delivery.  </w:t>
      </w:r>
    </w:p>
    <w:p>
      <w:pPr>
        <w:pStyle w:val="Normal"/>
        <w:tabs>
          <w:tab w:val="clear" w:pos="540"/>
        </w:tabs>
        <w:overflowPunct w:val="true"/>
        <w:autoSpaceDE w:val="true"/>
        <w:ind w:start="360" w:end="0"/>
        <w:textAlignment w:val="auto"/>
        <w:rPr>
          <w:rFonts w:cs="Arial"/>
          <w:color w:val="000080"/>
          <w:sz w:val="20"/>
        </w:rPr>
      </w:pPr>
      <w:r>
        <w:rPr>
          <w:rFonts w:cs="Arial"/>
          <w:color w:val="000080"/>
          <w:sz w:val="20"/>
        </w:rPr>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t>SFAS 133 paragraph 57 states that a security that is publicly traded but for which the market is not very active would not be readily convertible to cash if the number of shares to be exchanged is large relative to the daily transaction volume and would therefore not qualify as a net settlement provision.  The estimated daily delivery quantity per this contract is approximately 15,000 barrels of MTBE equivalent, which represents approximately 8-12% of the Gulf Coast daily production.  We believe that 8-10% is a large amount relative to the daily production volumes especially considering that approximately 50% of those volumes are produced by captive plants (production is used for on-site refinery and not for merchant purposes).  With such significant market share, the market price for MTBE in the merchant market would be affected by a volumetric change of the magnitude stipulated in this contract and would not qualify under the criteria for net settlement.  Evidence of such price change can be seen in Exhibit A, which reflects the price changes in MTBE when the plant was down for maintenance from December 12, 2000 through February 5, 2001and March 9, 2001 through April 4, 2001 plotted against gasoline and feedstock prices.  These are the only two times in the previous three-year period that the plant was down for more than three weeks.  During the first outage, feedstock prices were decreasing; gasoline prices showed a small increase and MTBE prices increased from approximately $1.10 per gallon to over $1.40 per gallon (a 27% increase).  During the second outage, feedstock prices continued to decline further, gasoline prices increased and MTBE prices increased from approximately $1.30 per gallon to over $1.60 per gallon (a 23% increase).  Exhibit B shows a longer range of pricing whereby MTBE prices normally are a function of feedstock pricing.  Exhibit C shows the decrease in production resulting from the plant outages and the draw on storage.  Production decreased by approximately 25% from 200,000 barrels per day in November 2000 to 150,000 barrels per day in January 2001.  This decrease in production was offset by a decrease in storage of approximately 1.5 million barrels during the same time period (approximately one half of the production shortage).  Therefore, amounts available for sale decreased by approximately 25,000 per day resulting in an average increase in price of 25%.  Based on these graphs, it is evident that the quantities stated under the contract can and do significantly affect the price of MTBE.</w:t>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t>Price information on MTBE is available in Platt’s Oilgram, but such quotes are based only on the trading activity that is aware of.  Platt’s does post a spot price for MTBE that is based on actual trades that it is aware of. Some of the information posted is based on transactions that were heard to have been executed or discussed in the market, but had not been confirmed.  Based on Platt’s data, if EOTT were to sell its production on the market in the minimal increments reported of approximately 25,000 bbls, it would constitute 25% of the highest demand trading day (summer).  Platt’s consistently reports price volatility due to things such as lack of offers, buyers attempting to draw out buying interest, refiners buying in the market, producers buying product or plant/pipeline outages.  This effect was specifically seen when the Explorer pipeline, one of two pipelines that deliver MTBE from the Gulf Coast to the Midwest, was down in June 2000 due to a rupture and MTBE prices spiked although feedstock prices remained fairly constant (see Exhibit B).</w:t>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r>
    </w:p>
    <w:p>
      <w:pPr>
        <w:pStyle w:val="Normal"/>
        <w:tabs>
          <w:tab w:val="clear" w:pos="540"/>
        </w:tabs>
        <w:overflowPunct w:val="true"/>
        <w:autoSpaceDE w:val="true"/>
        <w:ind w:start="720" w:end="0"/>
        <w:textAlignment w:val="auto"/>
        <w:rPr>
          <w:rFonts w:cs="Arial"/>
          <w:i/>
          <w:i/>
          <w:iCs/>
          <w:color w:val="000080"/>
          <w:sz w:val="20"/>
        </w:rPr>
      </w:pPr>
      <w:r>
        <w:rPr>
          <w:rFonts w:cs="Arial"/>
          <w:i/>
          <w:iCs/>
          <w:color w:val="000080"/>
          <w:sz w:val="20"/>
        </w:rPr>
        <w:t xml:space="preserve">Although quoted prices are available in Platt’s, there is no exchange in which volumes can be readily absorbed.  Each transaction is negotiated with a counterparty and may or may not receive the quoted market price.  In Paragraph 265 of SFAS 133, it states that acceptance by either party of the risks and costs customarily associated with owning and delivering the asset associated with the underlying is an important characteristic when distinguishing a derivative from a nonderivative.  Net settlement requires the parties to be generally indifferent as to whether they exchange cash or the assets associated with the underlying.  EOTT is not indifferent as to whether they exchange cash or product because there is no exchange in which they can readily convert product to cash.  First, a counterparty would have to be identified and a transaction would have to be negotiated with no guarantee that the quoted price could be obtained.  If EOTT were indifferent to product vs. cash, they should be willing to provide for monthly or daily liquidating damages.  EOTT is clearly not willing to do so specifically due to the volatility of prices that could be caused by the volumes traded under the contract and their inability to guarantee conversion of product to cash at quoted prices due to the lack of an exchange. </w:t>
      </w:r>
    </w:p>
    <w:p>
      <w:pPr>
        <w:pStyle w:val="Normal"/>
        <w:tabs>
          <w:tab w:val="clear" w:pos="540"/>
        </w:tabs>
        <w:overflowPunct w:val="true"/>
        <w:autoSpaceDE w:val="true"/>
        <w:textAlignment w:val="auto"/>
        <w:rPr>
          <w:rFonts w:cs="Arial"/>
          <w:i/>
          <w:i/>
          <w:iCs/>
          <w:color w:val="000080"/>
          <w:sz w:val="20"/>
        </w:rPr>
      </w:pPr>
      <w:r>
        <w:rPr>
          <w:rFonts w:cs="Arial"/>
          <w:i/>
          <w:iCs/>
          <w:color w:val="000080"/>
          <w:sz w:val="20"/>
        </w:rPr>
      </w:r>
    </w:p>
    <w:p>
      <w:pPr>
        <w:pStyle w:val="BodyTextIndent3"/>
        <w:tabs>
          <w:tab w:val="clear" w:pos="720"/>
          <w:tab w:val="left" w:pos="90" w:leader="none"/>
        </w:tabs>
        <w:ind w:start="90" w:end="0"/>
        <w:rPr>
          <w:color w:val="000080"/>
        </w:rPr>
      </w:pPr>
      <w:r>
        <w:rPr>
          <w:color w:val="000080"/>
        </w:rPr>
        <w:t>Based upon the above discussion, the contract does not meet any of the three criteria for net settlement under Paragraph 6(c) and is therefore, not a derivative under SFAS 133.</w:t>
      </w:r>
    </w:p>
    <w:p>
      <w:pPr>
        <w:pStyle w:val="Normal"/>
        <w:ind w:start="1440" w:end="0"/>
        <w:rPr>
          <w:rFonts w:cs="Arial"/>
          <w:color w:val="000080"/>
          <w:sz w:val="20"/>
        </w:rPr>
      </w:pPr>
      <w:r>
        <w:rPr>
          <w:rFonts w:cs="Arial"/>
          <w:color w:val="000080"/>
          <w:sz w:val="20"/>
        </w:rPr>
      </w:r>
    </w:p>
    <w:p>
      <w:pPr>
        <w:pStyle w:val="Body"/>
        <w:rPr/>
      </w:pPr>
      <w:r>
        <w:rPr/>
        <w:t>In EITF 98-10, the Task Force reached a consensus that energy trading contracts should be marked-to-market.  The Task Force noted that when an operation conducts both trading and nontrading activities and those activities are not segregated organizationally or by legal entity, it is essential that the entity analyze contracts at inception based on the factors in Exhibit 98-10A and identify each contract as trading or non-trading.  Based on the analysis performed in Exhibit D attached hereto, the Toll Conversion Agreement is a non-trading contract and should be accounted for on the accrual basis of accounting as an executory service agreement.</w:t>
      </w:r>
    </w:p>
    <w:p>
      <w:pPr>
        <w:pStyle w:val="Body"/>
        <w:rPr/>
      </w:pPr>
      <w:r>
        <w:rPr/>
      </w:r>
    </w:p>
    <w:p>
      <w:pPr>
        <w:pStyle w:val="Body"/>
        <w:rPr>
          <w:u w:val="single"/>
        </w:rPr>
      </w:pPr>
      <w:r>
        <w:rPr>
          <w:u w:val="single"/>
        </w:rPr>
        <w:t>Issue 4:  How should EOTT account for the Mont Belvieu Storage Capacity Purchase Agreement?</w:t>
      </w:r>
    </w:p>
    <w:p>
      <w:pPr>
        <w:pStyle w:val="Body"/>
        <w:rPr>
          <w:u w:val="single"/>
        </w:rPr>
      </w:pPr>
      <w:r>
        <w:rPr>
          <w:u w:val="single"/>
        </w:rPr>
      </w:r>
    </w:p>
    <w:p>
      <w:pPr>
        <w:pStyle w:val="Body"/>
        <w:rPr/>
      </w:pPr>
      <w:r>
        <w:rPr/>
        <w:t>EOTT believes that the Mont Belvieu Storage Capacity Purchase Agreement should be accounted for as a lease for the following reasons:</w:t>
      </w:r>
    </w:p>
    <w:p>
      <w:pPr>
        <w:pStyle w:val="Body"/>
        <w:rPr/>
      </w:pPr>
      <w:r>
        <w:rPr/>
      </w:r>
    </w:p>
    <w:p>
      <w:pPr>
        <w:pStyle w:val="Body"/>
        <w:numPr>
          <w:ilvl w:val="0"/>
          <w:numId w:val="3"/>
        </w:numPr>
        <w:rPr/>
      </w:pPr>
      <w:r>
        <w:rPr/>
        <w:t>An affiliate of EGLI, through its general partnership interest, operates the storage facilities.</w:t>
      </w:r>
    </w:p>
    <w:p>
      <w:pPr>
        <w:pStyle w:val="Body"/>
        <w:numPr>
          <w:ilvl w:val="0"/>
          <w:numId w:val="3"/>
        </w:numPr>
        <w:rPr/>
      </w:pPr>
      <w:r>
        <w:rPr/>
        <w:t>An affiliate of EGLI, through its general partnership interest, sets the operating policies and procedures of the storage facilities.</w:t>
      </w:r>
    </w:p>
    <w:p>
      <w:pPr>
        <w:pStyle w:val="Body"/>
        <w:numPr>
          <w:ilvl w:val="0"/>
          <w:numId w:val="3"/>
        </w:numPr>
        <w:rPr/>
      </w:pPr>
      <w:r>
        <w:rPr/>
        <w:t>EOTT is not required to pay damages under the contract for non-performance in the event of force majeure related to the storage facilities.</w:t>
      </w:r>
    </w:p>
    <w:p>
      <w:pPr>
        <w:pStyle w:val="Body"/>
        <w:rPr/>
      </w:pPr>
      <w:r>
        <w:rPr/>
      </w:r>
    </w:p>
    <w:p>
      <w:pPr>
        <w:pStyle w:val="Body"/>
        <w:rPr/>
      </w:pPr>
      <w:r>
        <w:rPr/>
        <w:t>Factors 1 and 2 indicate that EGLI has a right to use, or control the ability of EOTT to use the storage facilities which indicates a lease under Andersen’s interpretation 1-4 to their “Accounting for Leases” book.  Factor 3 indicates that EGLI is exposed to facility based risks and rewards which in conjunction with Factors 1 and 2 indicates that the contract should be accounted for as a lease under Andersen’s interpretation 1-4.</w:t>
      </w:r>
    </w:p>
    <w:p>
      <w:pPr>
        <w:pStyle w:val="Body"/>
        <w:rPr/>
      </w:pPr>
      <w:r>
        <w:rPr/>
      </w:r>
    </w:p>
    <w:p>
      <w:pPr>
        <w:pStyle w:val="Body"/>
        <w:rPr/>
      </w:pPr>
      <w:r>
        <w:rPr/>
        <w:t>Additionally, should the contract not have been deemed to be a lease under the current literature, we believe that the contract would not qualify as a derivative under SFAS 133, due to the same reasons as stated above for the Toll Conversion Agreement under paragraphs 9(a) and (b).  These reasons and the reason that the contract does not qualify under paragraph 9(c) are summarized as follows:</w:t>
      </w:r>
    </w:p>
    <w:p>
      <w:pPr>
        <w:pStyle w:val="Body"/>
        <w:rPr/>
      </w:pPr>
      <w:r>
        <w:rPr/>
      </w:r>
    </w:p>
    <w:p>
      <w:pPr>
        <w:pStyle w:val="Body"/>
        <w:numPr>
          <w:ilvl w:val="0"/>
          <w:numId w:val="4"/>
        </w:numPr>
        <w:rPr/>
      </w:pPr>
      <w:r>
        <w:rPr/>
        <w:t>Damages are asymmetrical and therefore there is no settlement under paragraph 9(a).</w:t>
      </w:r>
    </w:p>
    <w:p>
      <w:pPr>
        <w:pStyle w:val="Body"/>
        <w:numPr>
          <w:ilvl w:val="0"/>
          <w:numId w:val="4"/>
        </w:numPr>
        <w:rPr/>
      </w:pPr>
      <w:r>
        <w:rPr/>
        <w:t>The contract is not assignable without consent which can be withheld for any reason and therefore does not meet the criteria in paragraph 9(b).</w:t>
      </w:r>
    </w:p>
    <w:p>
      <w:pPr>
        <w:pStyle w:val="Body"/>
        <w:numPr>
          <w:ilvl w:val="0"/>
          <w:numId w:val="4"/>
        </w:numPr>
        <w:rPr/>
      </w:pPr>
      <w:r>
        <w:rPr/>
        <w:t>The underlying is a service and is priced based on the service and therefore is not readily convertoble to cash.  This assessment is based on Andersen interpretation 10e-5 in their “Derivatives and Hedging” book which concludes that a contract involving the delivery of a service generally is not a derivative instrument under SFAS 133.  This conclusion was based on the fact that delivery of a service involves the performance of a defined action which is not fungible.  Because it is not fungible, it is not readily convertible to cash.</w:t>
      </w:r>
    </w:p>
    <w:p>
      <w:pPr>
        <w:pStyle w:val="Body"/>
        <w:rPr/>
      </w:pPr>
      <w:r>
        <w:rPr/>
      </w:r>
    </w:p>
    <w:p>
      <w:pPr>
        <w:pStyle w:val="Body"/>
        <w:rPr/>
      </w:pPr>
      <w:r>
        <w:rPr/>
        <w:t>The assessment of the contract under EITF 98-10 would not have been substantially different than the assessment made for the Toll Conversion Agreement attached hereto as Exhibit D.  Based on such analysis, the Mont Belvieu Storage Capacity Purchase Agreement is a non-trading contract and would have been accounted for on the accrual basis of accounting as an executory service agreement if it had not been deemed to be a lease.</w:t>
      </w:r>
    </w:p>
    <w:p>
      <w:pPr>
        <w:pStyle w:val="Body"/>
        <w:ind w:start="0" w:end="0"/>
        <w:rPr/>
      </w:pPr>
      <w:r>
        <w:rPr/>
      </w:r>
    </w:p>
    <w:p>
      <w:pPr>
        <w:pStyle w:val="Body"/>
        <w:rPr/>
      </w:pPr>
      <w:r>
        <w:rPr/>
      </w:r>
    </w:p>
    <w:p>
      <w:pPr>
        <w:pStyle w:val="Body"/>
        <w:rPr/>
      </w:pPr>
      <w:r>
        <w:rPr/>
      </w:r>
    </w:p>
    <w:p>
      <w:pPr>
        <w:pStyle w:val="Body"/>
        <w:rPr/>
      </w:pPr>
      <w:r>
        <w:rPr/>
        <w:t>CC:</w:t>
        <w:tab/>
        <w:t>Lori Maddox</w:t>
      </w:r>
    </w:p>
    <w:p>
      <w:pPr>
        <w:pStyle w:val="Body"/>
        <w:rPr/>
      </w:pPr>
      <w:r>
        <w:rPr/>
        <w:tab/>
        <w:t>Lawrence Clayton</w:t>
      </w:r>
    </w:p>
    <w:p>
      <w:pPr>
        <w:pStyle w:val="Body"/>
        <w:rPr/>
      </w:pPr>
      <w:r>
        <w:rPr/>
        <w:tab/>
        <w:t>Rod Hayslett</w:t>
      </w:r>
    </w:p>
    <w:p>
      <w:pPr>
        <w:pStyle w:val="Body"/>
        <w:rPr/>
      </w:pPr>
      <w:r>
        <w:rPr/>
      </w:r>
    </w:p>
    <w:p>
      <w:pPr>
        <w:pStyle w:val="Body"/>
        <w:rPr/>
      </w:pPr>
      <w:r>
        <w:rPr/>
        <w:tab/>
      </w:r>
    </w:p>
    <w:p>
      <w:pPr>
        <w:pStyle w:val="Body"/>
        <w:rPr/>
      </w:pPr>
      <w:r>
        <w:rPr/>
      </w:r>
      <w:r>
        <w:br w:type="page"/>
      </w:r>
    </w:p>
    <w:p>
      <w:pPr>
        <w:pStyle w:val="Body"/>
        <w:rPr/>
      </w:pPr>
      <w:r>
        <w:rPr/>
      </w:r>
    </w:p>
    <w:p>
      <w:pPr>
        <w:pStyle w:val="Heading1"/>
        <w:ind w:hanging="0" w:start="0"/>
        <w:rPr>
          <w:i/>
          <w:i/>
          <w:iCs/>
        </w:rPr>
      </w:pPr>
      <w:r>
        <w:rPr>
          <w:i/>
          <w:iCs/>
        </w:rPr>
        <w:t>Exhibit A – Pricing Effects of Plant Outages (12/12/00-2/5/01 and 3/9/01-4/4/01)</w:t>
      </w:r>
    </w:p>
    <w:p>
      <w:pPr>
        <w:pStyle w:val="Heading1"/>
        <w:ind w:hanging="0" w:start="0"/>
        <w:rPr>
          <w:i/>
          <w:i/>
          <w:iCs/>
        </w:rPr>
      </w:pPr>
      <w:r>
        <w:rPr>
          <w:i/>
          <w:iCs/>
        </w:rPr>
      </w:r>
    </w:p>
    <w:p>
      <w:pPr>
        <w:pStyle w:val="Heading1"/>
        <w:numPr>
          <w:ilvl w:val="0"/>
          <w:numId w:val="0"/>
        </w:numPr>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79415" cy="410781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79415" cy="4107815"/>
                    </a:xfrm>
                    <a:prstGeom prst="rect">
                      <a:avLst/>
                    </a:prstGeom>
                    <a:noFill/>
                  </pic:spPr>
                </pic:pic>
              </a:graphicData>
            </a:graphic>
          </wp:anchor>
        </w:drawing>
      </w:r>
      <w:r>
        <w:br w:type="page"/>
      </w:r>
    </w:p>
    <w:p>
      <w:pPr>
        <w:pStyle w:val="Heading1"/>
        <w:ind w:hanging="0" w:start="0"/>
        <w:rPr>
          <w:i/>
          <w:i/>
          <w:iCs/>
        </w:rPr>
      </w:pPr>
      <w:r>
        <w:rPr>
          <w:i/>
          <w:iCs/>
        </w:rPr>
        <w:t>Exhibit B – Historical Prices – MTBE, Feedstock and Gasoline</w:t>
      </w:r>
    </w:p>
    <w:p>
      <w:pPr>
        <w:pStyle w:val="Normal"/>
        <w:rPr>
          <w:i/>
          <w:i/>
          <w:iCs/>
        </w:rPr>
      </w:pPr>
      <w:r>
        <w:rPr>
          <w:i/>
          <w:iCs/>
        </w:rPr>
      </w:r>
    </w:p>
    <w:p>
      <w:pPr>
        <w:pStyle w:val="Normal"/>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79415" cy="410781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5479415" cy="4107815"/>
                    </a:xfrm>
                    <a:prstGeom prst="rect">
                      <a:avLst/>
                    </a:prstGeom>
                    <a:noFill/>
                  </pic:spPr>
                </pic:pic>
              </a:graphicData>
            </a:graphic>
          </wp:anchor>
        </w:drawing>
      </w:r>
    </w:p>
    <w:p>
      <w:pPr>
        <w:pStyle w:val="Normal"/>
        <w:rPr/>
      </w:pPr>
      <w:r>
        <w:rPr/>
      </w:r>
    </w:p>
    <w:p>
      <w:pPr>
        <w:pStyle w:val="Normal"/>
        <w:rPr/>
      </w:pPr>
      <w:r>
        <w:rPr/>
      </w:r>
      <w:r>
        <w:br w:type="page"/>
      </w:r>
    </w:p>
    <w:p>
      <w:pPr>
        <w:pStyle w:val="Heading1"/>
        <w:ind w:hanging="0" w:start="0"/>
        <w:rPr>
          <w:i/>
          <w:i/>
          <w:iCs/>
        </w:rPr>
      </w:pPr>
      <w:r>
        <w:rPr>
          <w:i/>
          <w:iCs/>
        </w:rPr>
        <w:t>Exhibit C – Production vs. Stock on MTBE</w:t>
      </w:r>
    </w:p>
    <w:p>
      <w:pPr>
        <w:pStyle w:val="Normal"/>
        <w:rPr>
          <w:i/>
          <w:i/>
          <w:iCs/>
        </w:rPr>
      </w:pPr>
      <w:r>
        <w:rPr>
          <w:i/>
          <w:iCs/>
        </w:rPr>
      </w:r>
    </w:p>
    <w:p>
      <w:pPr>
        <w:pStyle w:val="Heading1"/>
        <w:numPr>
          <w:ilvl w:val="0"/>
          <w:numId w:val="0"/>
        </w:numPr>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79415" cy="410781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5" r="-4" b="-5"/>
                    <a:stretch>
                      <a:fillRect/>
                    </a:stretch>
                  </pic:blipFill>
                  <pic:spPr bwMode="auto">
                    <a:xfrm>
                      <a:off x="0" y="0"/>
                      <a:ext cx="5479415" cy="4107815"/>
                    </a:xfrm>
                    <a:prstGeom prst="rect">
                      <a:avLst/>
                    </a:prstGeom>
                    <a:noFill/>
                  </pic:spPr>
                </pic:pic>
              </a:graphicData>
            </a:graphic>
          </wp:anchor>
        </w:drawing>
      </w:r>
      <w:r>
        <w:br w:type="page"/>
      </w:r>
    </w:p>
    <w:p>
      <w:pPr>
        <w:pStyle w:val="Heading1"/>
        <w:ind w:hanging="0" w:start="0"/>
        <w:rPr>
          <w:i/>
          <w:i/>
          <w:iCs/>
        </w:rPr>
      </w:pPr>
      <w:r>
        <w:rPr>
          <w:i/>
          <w:iCs/>
        </w:rPr>
        <w:t>Exhibit D</w:t>
      </w:r>
    </w:p>
    <w:p>
      <w:pPr>
        <w:pStyle w:val="Normal"/>
        <w:rPr>
          <w:i/>
          <w:i/>
          <w:iCs/>
        </w:rPr>
      </w:pPr>
      <w:r>
        <w:rPr>
          <w:i/>
          <w:iCs/>
        </w:rPr>
      </w:r>
    </w:p>
    <w:p>
      <w:pPr>
        <w:pStyle w:val="Normal"/>
        <w:rPr/>
      </w:pPr>
      <w:r>
        <w:rPr/>
      </w:r>
    </w:p>
    <w:p>
      <w:pPr>
        <w:pStyle w:val="Heading1"/>
        <w:ind w:hanging="0" w:start="0"/>
        <w:rPr/>
      </w:pPr>
      <w:r>
        <w:rPr/>
        <w:t>EITF 98-10 Analysis for EOTT Accounting for Contracts</w:t>
      </w:r>
    </w:p>
    <w:p>
      <w:pPr>
        <w:pStyle w:val="Normal"/>
        <w:rPr/>
      </w:pPr>
      <w:r>
        <w:rPr/>
      </w:r>
    </w:p>
    <w:p>
      <w:pPr>
        <w:pStyle w:val="Normal"/>
        <w:rPr/>
      </w:pPr>
      <w:r>
        <w:rPr/>
      </w:r>
    </w:p>
    <w:tbl>
      <w:tblPr>
        <w:tblW w:w="7830" w:type="dxa"/>
        <w:jc w:val="start"/>
        <w:tblInd w:w="108" w:type="dxa"/>
        <w:tblLayout w:type="fixed"/>
        <w:tblCellMar>
          <w:top w:w="0" w:type="dxa"/>
          <w:start w:w="108" w:type="dxa"/>
          <w:bottom w:w="0" w:type="dxa"/>
          <w:end w:w="108" w:type="dxa"/>
        </w:tblCellMar>
      </w:tblPr>
      <w:tblGrid>
        <w:gridCol w:w="4140"/>
        <w:gridCol w:w="1890"/>
        <w:gridCol w:w="1800"/>
      </w:tblGrid>
      <w:tr>
        <w:trPr/>
        <w:tc>
          <w:tcPr>
            <w:tcW w:w="4140" w:type="dxa"/>
            <w:tcBorders>
              <w:top w:val="single" w:sz="4" w:space="0" w:color="000000"/>
              <w:start w:val="single" w:sz="4" w:space="0" w:color="000000"/>
              <w:bottom w:val="single" w:sz="4" w:space="0" w:color="000000"/>
              <w:end w:val="single" w:sz="4" w:space="0" w:color="000000"/>
            </w:tcBorders>
          </w:tcPr>
          <w:p>
            <w:pPr>
              <w:pStyle w:val="Heading4"/>
              <w:rPr/>
            </w:pPr>
            <w:r>
              <w:rPr/>
              <w:t>Indicator</w:t>
            </w:r>
          </w:p>
        </w:tc>
        <w:tc>
          <w:tcPr>
            <w:tcW w:w="1890"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Trading / Market</w:t>
            </w:r>
          </w:p>
        </w:tc>
        <w:tc>
          <w:tcPr>
            <w:tcW w:w="180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Satisfy</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A. Generation/production/distribution/transmission capacity</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primary business of the operation is not to generate/produce/deliver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operation has little or no generation/production/distribution/transmission capabilities (does not own capital assets that would enable delivery to end user.)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The primary assets/liabilities of the operation are contracts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The operation does not use its own capital assets to satisfy its delivery requirements to customer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The operation offers products as a dealer, not as a “user” or “producer” of the commodity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B. Customers, counterparties, and competitors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majority of the counterparties to the contracts are not retail customers or industrial customers that take delivery of and consume the commodity in their business (for example, the customers or counterparties are brokers/traders).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Market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majority competitors of the operation are traders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Market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C.  Volume of purchases and sales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volume of purchases and sales significantly differs from the operation’s historical generation/production and delivery in its primary operating environment (that is, the area in which an operation typically delivers energy or could physically deliver such energy in a cost-effective manner in order to earn its revenue).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There has been a change in the volume of purchases and sales that is significant relative to the change in demand in the primary operating environment.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Quantities contracted for far exceed normal needs.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The operation does not consume the energy to meet its normal needs.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The operation’s volume of purchases and sales is not dictated by physical capacities (for example, transportation (pipelines, wires), production, or distribution).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6.  There is a high turnover rate of the portfolio of energy contracts.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D.  Ability to gather/transmit/transport energy efficiently and effectively</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operation typically enters into forward delivery or purchase contracts for delivery/receipt outside the operation’s primary operating environment (that is, the counterparties to the energy contracts are outside the primary operating environment).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operation does not have the capabilities to gather and transmit energy efficiently and effectively in the primary operating environment in which the operation’s energy contracts are located.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The operation has no available sources by which it can obtain the energy without resorting to market purchases.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E. Management and controls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Compensation and/or performance measures are tied to the short-term results generated from energy contracts (that is, the operation is measured based on trading profits or changes in the market values of its positions as opposed to profitable management of income-producing assets, such as power plants, pipelines, and manufacturing facilities).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operation communicates internally in terms of “trading strategy” (that is, management reports identify contractual positions, fair values, hedging activities, risk exposure, and so forth).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The word “trading” is in the name of the operation for internal and external purposes.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Employees of the operation are referred to as “traders” or have prior experience in derivative trading or risk-management activities.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Assessment of net market positions of the operation is done on an hourly or overnight basis.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6.  Infrastructure of the operation is similar to that of a trading operation of a bank or investment bank – front office, middle office, and back office (that is, there is a segregation of back office processing and front office trading functions).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7.  An infrastructure exists that enables the operation to capture price and other risks on a real-time basis.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8.  The activities are managed on a portfolio or “book” basis.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9.  Management searches for opportunities to take advantage of favorable price spreads, arbitrage opportunities, or outright positions in the marketplace.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F.  The contracts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operation has a history of pairing off contracts or otherwise settling the contracts without physically receiving or delivering energy.  That is, past practices of the operation have resulted in net cash settlement, offsetting, booking out, netting out, as well as flash title, and the type of settlement has changed quickly from one type to another to maximize profits/mitigate losses.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energy contracts do not permit physical delivery and must be settled net in the market, in cash.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Settlement of the contract is not likely to be by delivery of the energy (that is, the operation has a pattern of net settlement).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The energy contracts are not customarily used for general commercial business purposes or by the industry in general (for example, complex written options in which the operation does not stand ready to deliver energy).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The energy contracts contain provisions for liquidated damages in an amount that is based on changes in the price of the energy commodity that is the subject of the 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bl>
    <w:p>
      <w:pPr>
        <w:pStyle w:val="Normal"/>
        <w:rPr/>
      </w:pPr>
      <w:r>
        <w:rPr/>
      </w:r>
    </w:p>
    <w:p>
      <w:pPr>
        <w:pStyle w:val="Body"/>
        <w:rPr/>
      </w:pPr>
      <w:r>
        <w:rPr/>
      </w:r>
    </w:p>
    <w:p>
      <w:pPr>
        <w:pStyle w:val="Body"/>
        <w:rPr/>
      </w:pPr>
      <w:r>
        <w:rPr/>
      </w:r>
    </w:p>
    <w:p>
      <w:pPr>
        <w:pStyle w:val="Heading1"/>
        <w:ind w:hanging="0" w:start="0"/>
        <w:rPr/>
      </w:pPr>
      <w:r>
        <w:rPr/>
      </w:r>
    </w:p>
    <w:p>
      <w:pPr>
        <w:pStyle w:val="Normal"/>
        <w:rPr/>
      </w:pPr>
      <w:r>
        <w:rPr/>
      </w:r>
    </w:p>
    <w:sectPr>
      <w:headerReference w:type="default" r:id="rId5"/>
      <w:headerReference w:type="first" r:id="rId6"/>
      <w:footerReference w:type="default" r:id="rId7"/>
      <w:footerReference w:type="first" r:id="rId8"/>
      <w:type w:val="nextPage"/>
      <w:pgSz w:w="12240" w:h="15840"/>
      <w:pgMar w:left="1152" w:right="1152"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Arial"/>
      </w:rPr>
      <w:t xml:space="preserve">                             </w:t>
    </w:r>
    <w:r>
      <w:rPr/>
      <w:t>July 10, 2001</w:t>
      <w:tab/>
      <w:t xml:space="preserve">               Page </w:t>
    </w:r>
    <w:r>
      <w:rPr/>
      <w:fldChar w:fldCharType="begin"/>
    </w:r>
    <w:r>
      <w:rPr/>
      <w:instrText xml:space="preserve"> PAGE </w:instrText>
    </w:r>
    <w:r>
      <w:rPr/>
      <w:fldChar w:fldCharType="separate"/>
    </w:r>
    <w:r>
      <w:rPr/>
      <w:t>14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2523490</wp:posOffset>
              </wp:positionH>
              <wp:positionV relativeFrom="paragraph">
                <wp:posOffset>635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abstractNum w:abstractNumId="3">
    <w:lvl w:ilvl="0">
      <w:start w:val="1"/>
      <w:numFmt w:val="decimal"/>
      <w:lvlText w:val="%1."/>
      <w:lvlJc w:val="start"/>
      <w:pPr>
        <w:tabs>
          <w:tab w:val="num" w:pos="792"/>
        </w:tabs>
        <w:ind w:start="792" w:hanging="360"/>
      </w:pPr>
    </w:lvl>
  </w:abstractNum>
  <w:abstractNum w:abstractNumId="4">
    <w:lvl w:ilvl="0">
      <w:start w:val="1"/>
      <w:numFmt w:val="decimal"/>
      <w:lvlText w:val="%1."/>
      <w:lvlJc w:val="start"/>
      <w:pPr>
        <w:tabs>
          <w:tab w:val="num" w:pos="792"/>
        </w:tabs>
        <w:ind w:start="792" w:hanging="360"/>
      </w:p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lowerLetter"/>
      <w:lvlText w:val="%1)"/>
      <w:lvlJc w:val="start"/>
      <w:pPr>
        <w:tabs>
          <w:tab w:val="num" w:pos="792"/>
        </w:tabs>
        <w:ind w:start="792"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textAlignment w:val="auto"/>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tabs>
        <w:tab w:val="clear" w:pos="540"/>
      </w:tabs>
      <w:overflowPunct w:val="true"/>
      <w:autoSpaceDE w:val="true"/>
      <w:jc w:val="center"/>
      <w:textAlignment w:val="auto"/>
      <w:outlineLvl w:val="1"/>
    </w:pPr>
    <w:rPr>
      <w:rFonts w:ascii="Times New Roman" w:hAnsi="Times New Roman" w:cs="Times New Roman"/>
      <w:b/>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3"/>
        <w:numId w:val="1"/>
      </w:numPr>
      <w:ind w:hanging="0" w:start="-108" w:end="0"/>
      <w:outlineLvl w:val="3"/>
    </w:pPr>
    <w:rPr>
      <w:b/>
    </w:rPr>
  </w:style>
  <w:style w:type="paragraph" w:styleId="Heading5">
    <w:name w:val="heading 5"/>
    <w:basedOn w:val="Normal"/>
    <w:next w:val="Normal"/>
    <w:qFormat/>
    <w:pPr>
      <w:keepNext w:val="true"/>
      <w:numPr>
        <w:ilvl w:val="4"/>
        <w:numId w:val="1"/>
      </w:numPr>
      <w:ind w:hanging="0" w:start="-108" w:end="0"/>
      <w:outlineLvl w:val="4"/>
    </w:pPr>
    <w:rPr>
      <w:b/>
      <w:sz w:val="20"/>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tabs>
        <w:tab w:val="clear" w:pos="540"/>
      </w:tabs>
      <w:overflowPunct w:val="true"/>
      <w:textAlignment w:val="auto"/>
      <w:outlineLvl w:val="6"/>
    </w:pPr>
    <w:rPr>
      <w:rFonts w:cs="Arial"/>
      <w:b/>
      <w:bCs/>
      <w:sz w:val="20"/>
    </w:rPr>
  </w:style>
  <w:style w:type="paragraph" w:styleId="Heading8">
    <w:name w:val="heading 8"/>
    <w:basedOn w:val="Normal"/>
    <w:next w:val="Normal"/>
    <w:qFormat/>
    <w:pPr>
      <w:keepNext w:val="true"/>
      <w:numPr>
        <w:ilvl w:val="7"/>
        <w:numId w:val="1"/>
      </w:numPr>
      <w:tabs>
        <w:tab w:val="clear" w:pos="540"/>
      </w:tabs>
      <w:overflowPunct w:val="true"/>
      <w:ind w:firstLine="720" w:start="0" w:end="0"/>
      <w:textAlignment w:val="auto"/>
      <w:outlineLvl w:val="7"/>
    </w:pPr>
    <w:rPr>
      <w:rFonts w:cs="Arial"/>
      <w:b/>
      <w:bCs/>
      <w:sz w:val="16"/>
      <w:szCs w:val="16"/>
    </w:rPr>
  </w:style>
  <w:style w:type="character" w:styleId="WW8Num3z0">
    <w:name w:val="WW8Num3z0"/>
    <w:qFormat/>
    <w:rPr/>
  </w:style>
  <w:style w:type="character" w:styleId="WW8Num6z0">
    <w:name w:val="WW8Num6z0"/>
    <w:qFormat/>
    <w:rPr/>
  </w:style>
  <w:style w:type="character" w:styleId="WW8Num6z1">
    <w:name w:val="WW8Num6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2z0">
    <w:name w:val="WW8Num12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textAlignment w:val="auto"/>
    </w:pPr>
    <w:rPr>
      <w:rFonts w:ascii="Times New Roman" w:hAnsi="Times New Roman" w:cs="Times New Roman"/>
      <w:i/>
      <w:iCs/>
      <w:szCs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s>
      <w:overflowPunct w:val="true"/>
      <w:autoSpaceDE w:val="true"/>
      <w:textAlignment w:val="auto"/>
    </w:pPr>
    <w:rPr>
      <w:rFonts w:ascii="Times New Roman" w:hAnsi="Times New Roman" w:cs="Times New Roman"/>
      <w:b/>
      <w:bCs/>
      <w:i/>
      <w:iCs/>
      <w:szCs w:val="24"/>
    </w:rPr>
  </w:style>
  <w:style w:type="paragraph" w:styleId="BodyTextIndent">
    <w:name w:val="Body Text Indent"/>
    <w:basedOn w:val="Normal"/>
    <w:pPr>
      <w:tabs>
        <w:tab w:val="clear" w:pos="540"/>
      </w:tabs>
      <w:overflowPunct w:val="true"/>
      <w:autoSpaceDE w:val="true"/>
      <w:ind w:hanging="0" w:start="720" w:end="0"/>
      <w:textAlignment w:val="auto"/>
    </w:pPr>
    <w:rPr>
      <w:rFonts w:ascii="Times New Roman" w:hAnsi="Times New Roman" w:cs="Times New Roman"/>
      <w:i/>
      <w:iCs/>
      <w:szCs w:val="24"/>
      <w:u w:val="single"/>
    </w:rPr>
  </w:style>
  <w:style w:type="paragraph" w:styleId="BodyTextIndent2">
    <w:name w:val="Body Text Indent 2"/>
    <w:basedOn w:val="Normal"/>
    <w:qFormat/>
    <w:pPr>
      <w:tabs>
        <w:tab w:val="clear" w:pos="540"/>
      </w:tabs>
      <w:overflowPunct w:val="true"/>
      <w:autoSpaceDE w:val="true"/>
      <w:ind w:hanging="0" w:start="720" w:end="0"/>
      <w:textAlignment w:val="auto"/>
    </w:pPr>
    <w:rPr>
      <w:rFonts w:ascii="Times New Roman" w:hAnsi="Times New Roman" w:cs="Times New Roman"/>
      <w:szCs w:val="24"/>
    </w:rPr>
  </w:style>
  <w:style w:type="paragraph" w:styleId="PlainText">
    <w:name w:val="Plain Text"/>
    <w:basedOn w:val="Normal"/>
    <w:qFormat/>
    <w:pPr>
      <w:tabs>
        <w:tab w:val="clear" w:pos="540"/>
      </w:tabs>
      <w:overflowPunct w:val="true"/>
      <w:autoSpaceDE w:val="true"/>
      <w:textAlignment w:val="auto"/>
    </w:pPr>
    <w:rPr>
      <w:rFonts w:ascii="Courier New" w:hAnsi="Courier New" w:cs="Courier New"/>
      <w:sz w:val="20"/>
    </w:rPr>
  </w:style>
  <w:style w:type="paragraph" w:styleId="BodyText3">
    <w:name w:val="Body Text 3"/>
    <w:basedOn w:val="Normal"/>
    <w:qFormat/>
    <w:pPr>
      <w:tabs>
        <w:tab w:val="clear" w:pos="540"/>
      </w:tabs>
      <w:overflowPunct w:val="true"/>
      <w:textAlignment w:val="auto"/>
    </w:pPr>
    <w:rPr>
      <w:rFonts w:cs="Arial"/>
      <w:color w:val="000080"/>
      <w:sz w:val="20"/>
      <w:szCs w:val="15"/>
    </w:rPr>
  </w:style>
  <w:style w:type="paragraph" w:styleId="BodyTextIndent3">
    <w:name w:val="Body Text Indent 3"/>
    <w:basedOn w:val="Normal"/>
    <w:qFormat/>
    <w:pPr>
      <w:tabs>
        <w:tab w:val="clear" w:pos="540"/>
        <w:tab w:val="left" w:pos="720" w:leader="none"/>
      </w:tabs>
      <w:overflowPunct w:val="true"/>
      <w:autoSpaceDE w:val="true"/>
      <w:ind w:hanging="0" w:start="360" w:end="0"/>
      <w:textAlignment w:val="auto"/>
    </w:pPr>
    <w:rPr>
      <w:rFonts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747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2001-06-11T15:06:00Z</dcterms:created>
  <dc:creator>mcilia</dc:creator>
  <dc:description/>
  <dc:language>en-CA</dc:language>
  <cp:lastModifiedBy>mcilia</cp:lastModifiedBy>
  <cp:lastPrinted>2001-06-11T20:08:00Z</cp:lastPrinted>
  <dcterms:modified xsi:type="dcterms:W3CDTF">2001-09-24T23:35:00Z</dcterms:modified>
  <cp:revision>19</cp:revision>
  <dc:subject/>
  <dc:title>Better, Faster, Simpler Memo </dc:title>
</cp:coreProperties>
</file>