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u w:val="single"/>
        </w:rPr>
      </w:pPr>
      <w:r>
        <w:rPr>
          <w:u w:val="single"/>
        </w:rPr>
        <w:t>Confidential</w:t>
      </w:r>
    </w:p>
    <w:p>
      <w:pPr>
        <w:pStyle w:val="Normal"/>
        <w:widowControl/>
        <w:jc w:val="end"/>
        <w:rPr>
          <w:b/>
        </w:rPr>
      </w:pPr>
      <w:r>
        <w:rPr>
          <w:b/>
        </w:rPr>
      </w:r>
    </w:p>
    <w:p>
      <w:pPr>
        <w:pStyle w:val="Normal"/>
        <w:widowControl/>
        <w:jc w:val="end"/>
        <w:rPr>
          <w:b/>
        </w:rPr>
      </w:pPr>
      <w:r>
        <w:rPr>
          <w:b/>
        </w:rPr>
      </w:r>
    </w:p>
    <w:p>
      <w:pPr>
        <w:pStyle w:val="Normal"/>
        <w:widowControl/>
        <w:jc w:val="center"/>
        <w:rPr>
          <w:b/>
        </w:rPr>
      </w:pPr>
      <w:r>
        <w:rPr>
          <w:b/>
        </w:rPr>
        <w:t>PROJECT SUMMER</w:t>
      </w:r>
    </w:p>
    <w:p>
      <w:pPr>
        <w:pStyle w:val="Normal"/>
        <w:widowControl/>
        <w:jc w:val="center"/>
        <w:rPr/>
      </w:pPr>
      <w:r>
        <w:rPr/>
      </w:r>
    </w:p>
    <w:p>
      <w:pPr>
        <w:pStyle w:val="Normal"/>
        <w:widowControl/>
        <w:jc w:val="center"/>
        <w:rPr>
          <w:b/>
        </w:rPr>
      </w:pPr>
      <w:r>
        <w:rPr>
          <w:b/>
        </w:rPr>
        <w:t>CURRENT STATUS OF DISCUSSIONS</w:t>
      </w:r>
    </w:p>
    <w:p>
      <w:pPr>
        <w:pStyle w:val="Normal"/>
        <w:widowControl/>
        <w:jc w:val="center"/>
        <w:rPr/>
      </w:pPr>
      <w:r>
        <w:rPr/>
      </w:r>
    </w:p>
    <w:p>
      <w:pPr>
        <w:pStyle w:val="Normal"/>
        <w:widowControl/>
        <w:rPr>
          <w:b/>
          <w:i/>
          <w:i/>
        </w:rPr>
      </w:pPr>
      <w:r>
        <w:rPr>
          <w:b/>
          <w:i/>
        </w:rPr>
        <w:t>Draft:6/30/00</w:t>
      </w:r>
    </w:p>
    <w:p>
      <w:pPr>
        <w:pStyle w:val="Normal"/>
        <w:widowControl/>
        <w:rPr/>
      </w:pPr>
      <w:r>
        <w:rPr/>
      </w:r>
    </w:p>
    <w:tbl>
      <w:tblPr>
        <w:tblW w:w="9360" w:type="dxa"/>
        <w:jc w:val="center"/>
        <w:tblInd w:w="0" w:type="dxa"/>
        <w:tblLayout w:type="fixed"/>
        <w:tblCellMar>
          <w:top w:w="0" w:type="dxa"/>
          <w:start w:w="100" w:type="dxa"/>
          <w:bottom w:w="0" w:type="dxa"/>
          <w:end w:w="100" w:type="dxa"/>
        </w:tblCellMar>
      </w:tblPr>
      <w:tblGrid>
        <w:gridCol w:w="2430"/>
        <w:gridCol w:w="6930"/>
      </w:tblGrid>
      <w:tr>
        <w:trPr>
          <w:trHeight w:val="403" w:hRule="atLeast"/>
        </w:trPr>
        <w:tc>
          <w:tcPr>
            <w:tcW w:w="2430" w:type="dxa"/>
            <w:tcBorders>
              <w:top w:val="single" w:sz="6" w:space="0" w:color="000000"/>
              <w:start w:val="single" w:sz="6" w:space="0" w:color="000000"/>
            </w:tcBorders>
          </w:tcPr>
          <w:p>
            <w:pPr>
              <w:pStyle w:val="Normal"/>
              <w:widowControl/>
              <w:rPr>
                <w:b/>
              </w:rPr>
            </w:pPr>
            <w:r>
              <w:rPr>
                <w:b/>
              </w:rPr>
              <w:t>Overview:</w:t>
            </w:r>
          </w:p>
        </w:tc>
        <w:tc>
          <w:tcPr>
            <w:tcW w:w="6930" w:type="dxa"/>
            <w:tcBorders>
              <w:top w:val="single" w:sz="6" w:space="0" w:color="000000"/>
              <w:start w:val="single" w:sz="6" w:space="0" w:color="000000"/>
              <w:end w:val="single" w:sz="6" w:space="0" w:color="000000"/>
            </w:tcBorders>
          </w:tcPr>
          <w:p>
            <w:pPr>
              <w:pStyle w:val="Normal"/>
              <w:widowControl/>
              <w:rPr/>
            </w:pPr>
            <w:r>
              <w:rPr/>
              <w:t xml:space="preserve">The purpose of this document is to record the status of discussions after meetings in London 6/28 - 6/30 relating to basic terms and conditions of the transaction in which Mint acquires an 80% interest in Eagle International (“EI”) (the “Transaction”).  The Transaction relates only to the energy assets listed in Appendix A.  These assets do not include the Excluded Assets as set forth below.  A separate memorandum is being circulated outlining the various task forces and swat teams “Task Forces” formed to evaluate certain issues.  This memorandum will identify the participants on each Task Force, the charge of such Task Force and its target completion date. </w:t>
            </w:r>
          </w:p>
        </w:tc>
      </w:tr>
      <w:tr>
        <w:trPr>
          <w:trHeight w:val="403" w:hRule="atLeast"/>
        </w:trPr>
        <w:tc>
          <w:tcPr>
            <w:tcW w:w="2430" w:type="dxa"/>
            <w:tcBorders>
              <w:top w:val="single" w:sz="6" w:space="0" w:color="000000"/>
              <w:start w:val="single" w:sz="6" w:space="0" w:color="000000"/>
            </w:tcBorders>
          </w:tcPr>
          <w:p>
            <w:pPr>
              <w:pStyle w:val="Normal"/>
              <w:widowControl/>
              <w:rPr>
                <w:b/>
              </w:rPr>
            </w:pPr>
            <w:r>
              <w:rPr>
                <w:b/>
              </w:rPr>
              <w:t>EGEP:</w:t>
            </w:r>
          </w:p>
        </w:tc>
        <w:tc>
          <w:tcPr>
            <w:tcW w:w="6930" w:type="dxa"/>
            <w:tcBorders>
              <w:top w:val="single" w:sz="6" w:space="0" w:color="000000"/>
              <w:start w:val="single" w:sz="6" w:space="0" w:color="000000"/>
              <w:end w:val="single" w:sz="6" w:space="0" w:color="000000"/>
            </w:tcBorders>
          </w:tcPr>
          <w:p>
            <w:pPr>
              <w:pStyle w:val="Normal"/>
              <w:widowControl/>
              <w:rPr/>
            </w:pPr>
            <w:r>
              <w:rPr/>
              <w:t xml:space="preserve">All of EGEP’s assets are excluded other than the Korean concession and EGEP’s stockholdings in GAIL (which are included).  EI will enter into a marketing rights contract and offtake agreement for production from the Indian fields.  In addition, EI will manage, on a fee basis, the Indian government relationship on behalf of EGEP. A Task Force will discuss the terms of these arrangements.  </w:t>
            </w:r>
            <w:r>
              <w:rPr>
                <w:i/>
              </w:rPr>
              <w:t>EI will not have the right to transfer or forfeit any operatorship rights that EGEP has or claims to have.</w:t>
            </w:r>
          </w:p>
        </w:tc>
      </w:tr>
      <w:tr>
        <w:trPr>
          <w:trHeight w:val="403" w:hRule="atLeast"/>
        </w:trPr>
        <w:tc>
          <w:tcPr>
            <w:tcW w:w="2430" w:type="dxa"/>
            <w:tcBorders>
              <w:top w:val="single" w:sz="6" w:space="0" w:color="000000"/>
              <w:start w:val="single" w:sz="6" w:space="0" w:color="000000"/>
            </w:tcBorders>
          </w:tcPr>
          <w:p>
            <w:pPr>
              <w:pStyle w:val="Normal"/>
              <w:widowControl/>
              <w:rPr>
                <w:b/>
              </w:rPr>
            </w:pPr>
            <w:r>
              <w:rPr>
                <w:b/>
              </w:rPr>
              <w:t>Excluded Assets:</w:t>
            </w:r>
          </w:p>
        </w:tc>
        <w:tc>
          <w:tcPr>
            <w:tcW w:w="6930" w:type="dxa"/>
            <w:tcBorders>
              <w:top w:val="single" w:sz="6" w:space="0" w:color="000000"/>
              <w:start w:val="single" w:sz="6" w:space="0" w:color="000000"/>
              <w:end w:val="single" w:sz="6" w:space="0" w:color="000000"/>
            </w:tcBorders>
          </w:tcPr>
          <w:p>
            <w:pPr>
              <w:pStyle w:val="Normal"/>
              <w:widowControl/>
              <w:tabs>
                <w:tab w:val="left" w:pos="720" w:leader="none"/>
                <w:tab w:val="left" w:pos="1440" w:leader="none"/>
                <w:tab w:val="left" w:pos="2160" w:leader="none"/>
                <w:tab w:val="left" w:pos="2880" w:leader="none"/>
              </w:tabs>
              <w:rPr/>
            </w:pPr>
            <w:r>
              <w:rPr/>
              <w:t>•</w:t>
            </w:r>
            <w:r>
              <w:rPr/>
              <w:tab/>
              <w:t xml:space="preserve">India Broadband Services (including the India data centers), subject to a mutually agreed contract relating to joint participation with respect to these activities.(A Task Force will discuss these arrangements); </w:t>
            </w:r>
          </w:p>
          <w:p>
            <w:pPr>
              <w:pStyle w:val="Normal"/>
              <w:widowControl/>
              <w:tabs>
                <w:tab w:val="left" w:pos="720" w:leader="none"/>
                <w:tab w:val="left" w:pos="1440" w:leader="none"/>
                <w:tab w:val="left" w:pos="2160" w:leader="none"/>
                <w:tab w:val="left" w:pos="2880" w:leader="none"/>
              </w:tabs>
              <w:rPr/>
            </w:pPr>
            <w:r>
              <w:rPr/>
            </w:r>
          </w:p>
          <w:p>
            <w:pPr>
              <w:pStyle w:val="Normal"/>
              <w:widowControl/>
              <w:tabs>
                <w:tab w:val="left" w:pos="720" w:leader="none"/>
                <w:tab w:val="left" w:pos="1440" w:leader="none"/>
                <w:tab w:val="left" w:pos="2160" w:leader="none"/>
                <w:tab w:val="left" w:pos="2880" w:leader="none"/>
              </w:tabs>
              <w:rPr/>
            </w:pPr>
            <w:r>
              <w:rPr/>
              <w:t>•</w:t>
            </w:r>
            <w:r>
              <w:rPr/>
              <w:tab/>
              <w:t>South American Broadband Services (including the San Juan fiber project);</w:t>
            </w:r>
          </w:p>
          <w:p>
            <w:pPr>
              <w:pStyle w:val="Normal"/>
              <w:widowControl/>
              <w:tabs>
                <w:tab w:val="left" w:pos="720" w:leader="none"/>
                <w:tab w:val="left" w:pos="1440" w:leader="none"/>
                <w:tab w:val="left" w:pos="2160" w:leader="none"/>
                <w:tab w:val="left" w:pos="2880" w:leader="none"/>
              </w:tabs>
              <w:rPr/>
            </w:pPr>
            <w:r>
              <w:rPr/>
            </w:r>
          </w:p>
          <w:p>
            <w:pPr>
              <w:pStyle w:val="Normal"/>
              <w:widowControl/>
              <w:tabs>
                <w:tab w:val="left" w:pos="720" w:leader="none"/>
                <w:tab w:val="left" w:pos="1440" w:leader="none"/>
                <w:tab w:val="left" w:pos="2160" w:leader="none"/>
                <w:tab w:val="left" w:pos="2880" w:leader="none"/>
              </w:tabs>
              <w:rPr/>
            </w:pPr>
            <w:r>
              <w:rPr/>
              <w:t>•</w:t>
            </w:r>
            <w:r>
              <w:rPr/>
              <w:tab/>
              <w:t>an agreed amount of excess working capital (see “Purchase Price Adjustments” below). (A Task Force will develop more information on the status of working capital); and</w:t>
            </w:r>
          </w:p>
          <w:p>
            <w:pPr>
              <w:pStyle w:val="Normal"/>
              <w:widowControl/>
              <w:tabs>
                <w:tab w:val="left" w:pos="720" w:leader="none"/>
                <w:tab w:val="left" w:pos="1440" w:leader="none"/>
                <w:tab w:val="left" w:pos="2160" w:leader="none"/>
                <w:tab w:val="left" w:pos="2880" w:leader="none"/>
              </w:tabs>
              <w:rPr/>
            </w:pPr>
            <w:r>
              <w:rPr/>
            </w:r>
          </w:p>
          <w:p>
            <w:pPr>
              <w:pStyle w:val="Normal"/>
              <w:widowControl/>
              <w:tabs>
                <w:tab w:val="left" w:pos="720" w:leader="none"/>
                <w:tab w:val="left" w:pos="1440" w:leader="none"/>
                <w:tab w:val="left" w:pos="2160" w:leader="none"/>
                <w:tab w:val="left" w:pos="2880" w:leader="none"/>
              </w:tabs>
              <w:rPr/>
            </w:pPr>
            <w:r>
              <w:rPr/>
              <w:t>•</w:t>
            </w:r>
            <w:r>
              <w:rPr/>
              <w:tab/>
              <w:t>operations in Japan and Australia with the exception of the power generation business conducted through Encom.</w:t>
            </w:r>
          </w:p>
        </w:tc>
      </w:tr>
      <w:tr>
        <w:trPr>
          <w:trHeight w:val="403" w:hRule="atLeast"/>
        </w:trPr>
        <w:tc>
          <w:tcPr>
            <w:tcW w:w="2430" w:type="dxa"/>
            <w:tcBorders>
              <w:top w:val="single" w:sz="6" w:space="0" w:color="000000"/>
              <w:start w:val="single" w:sz="6" w:space="0" w:color="000000"/>
            </w:tcBorders>
          </w:tcPr>
          <w:p>
            <w:pPr>
              <w:pStyle w:val="Normal"/>
              <w:widowControl/>
              <w:rPr>
                <w:b/>
              </w:rPr>
            </w:pPr>
            <w:r>
              <w:rPr>
                <w:b/>
              </w:rPr>
              <w:t>Purchase Price Adjustments:</w:t>
            </w:r>
          </w:p>
        </w:tc>
        <w:tc>
          <w:tcPr>
            <w:tcW w:w="6930" w:type="dxa"/>
            <w:tcBorders>
              <w:top w:val="single" w:sz="6" w:space="0" w:color="000000"/>
              <w:start w:val="single" w:sz="6" w:space="0" w:color="000000"/>
              <w:end w:val="single" w:sz="6" w:space="0" w:color="000000"/>
            </w:tcBorders>
          </w:tcPr>
          <w:p>
            <w:pPr>
              <w:pStyle w:val="Normal"/>
              <w:widowControl/>
              <w:rPr/>
            </w:pPr>
            <w:r>
              <w:rPr/>
              <w:t>A Task Force will discuss the Purchase Price adjustment mechanisms to be included in the Purchase Agreement depending on the resolution of the “pricing date” issue. Purchase Price adjustments discussed included:</w:t>
            </w:r>
          </w:p>
          <w:p>
            <w:pPr>
              <w:pStyle w:val="Normal"/>
              <w:widowControl/>
              <w:rPr/>
            </w:pPr>
            <w:r>
              <w:rPr/>
            </w:r>
          </w:p>
          <w:p>
            <w:pPr>
              <w:pStyle w:val="Normal"/>
              <w:widowControl/>
              <w:tabs>
                <w:tab w:val="left" w:pos="720" w:leader="none"/>
                <w:tab w:val="left" w:pos="1440" w:leader="none"/>
                <w:tab w:val="left" w:pos="2160" w:leader="none"/>
                <w:tab w:val="left" w:pos="2880" w:leader="none"/>
              </w:tabs>
              <w:rPr/>
            </w:pPr>
            <w:r>
              <w:rPr/>
              <w:t>•</w:t>
            </w:r>
            <w:r>
              <w:rPr/>
              <w:tab/>
              <w:t>Increase/decrease by changes to the 12/31/99 balance sheet equity account that result from additional equity investments by Eagle and/or distributions made to Eagle prior to closing and net income/loss during the applicable period excluding extraordinary items and non-recurring gains and losses;</w:t>
            </w:r>
          </w:p>
          <w:p>
            <w:pPr>
              <w:pStyle w:val="Normal"/>
              <w:widowControl/>
              <w:tabs>
                <w:tab w:val="left" w:pos="720" w:leader="none"/>
                <w:tab w:val="left" w:pos="1440" w:leader="none"/>
                <w:tab w:val="left" w:pos="2160" w:leader="none"/>
                <w:tab w:val="left" w:pos="2880" w:leader="none"/>
              </w:tabs>
              <w:rPr/>
            </w:pPr>
            <w:r>
              <w:rPr/>
            </w:r>
          </w:p>
          <w:p>
            <w:pPr>
              <w:pStyle w:val="Normal"/>
              <w:widowControl/>
              <w:tabs>
                <w:tab w:val="left" w:pos="720" w:leader="none"/>
                <w:tab w:val="left" w:pos="1440" w:leader="none"/>
                <w:tab w:val="left" w:pos="2160" w:leader="none"/>
                <w:tab w:val="left" w:pos="2880" w:leader="none"/>
              </w:tabs>
              <w:rPr/>
            </w:pPr>
            <w:r>
              <w:rPr/>
              <w:t>•</w:t>
            </w:r>
            <w:r>
              <w:rPr/>
              <w:tab/>
              <w:t>increase by the amount of excess working capital;</w:t>
            </w:r>
          </w:p>
          <w:p>
            <w:pPr>
              <w:pStyle w:val="Normal"/>
              <w:widowControl/>
              <w:tabs>
                <w:tab w:val="left" w:pos="720" w:leader="none"/>
                <w:tab w:val="left" w:pos="1440" w:leader="none"/>
                <w:tab w:val="left" w:pos="2160" w:leader="none"/>
                <w:tab w:val="left" w:pos="2880" w:leader="none"/>
              </w:tabs>
              <w:rPr/>
            </w:pPr>
            <w:r>
              <w:rPr/>
            </w:r>
          </w:p>
          <w:p>
            <w:pPr>
              <w:pStyle w:val="Normal"/>
              <w:widowControl/>
              <w:tabs>
                <w:tab w:val="left" w:pos="720" w:leader="none"/>
                <w:tab w:val="left" w:pos="1440" w:leader="none"/>
                <w:tab w:val="left" w:pos="2160" w:leader="none"/>
                <w:tab w:val="left" w:pos="2880" w:leader="none"/>
              </w:tabs>
              <w:rPr/>
            </w:pPr>
            <w:r>
              <w:rPr/>
              <w:t>•</w:t>
            </w:r>
            <w:r>
              <w:rPr/>
              <w:tab/>
              <w:t>decrease by amounts paid to Eagle pursuant to exercise of rights of first refusal by Eagle’s equity project partners;</w:t>
            </w:r>
          </w:p>
          <w:p>
            <w:pPr>
              <w:pStyle w:val="Normal"/>
              <w:widowControl/>
              <w:tabs>
                <w:tab w:val="left" w:pos="720" w:leader="none"/>
                <w:tab w:val="left" w:pos="1440" w:leader="none"/>
                <w:tab w:val="left" w:pos="2160" w:leader="none"/>
                <w:tab w:val="left" w:pos="2880" w:leader="none"/>
              </w:tabs>
              <w:rPr/>
            </w:pPr>
            <w:r>
              <w:rPr/>
            </w:r>
          </w:p>
          <w:p>
            <w:pPr>
              <w:pStyle w:val="Normal"/>
              <w:widowControl/>
              <w:tabs>
                <w:tab w:val="left" w:pos="720" w:leader="none"/>
                <w:tab w:val="left" w:pos="1440" w:leader="none"/>
                <w:tab w:val="left" w:pos="2160" w:leader="none"/>
                <w:tab w:val="left" w:pos="2880" w:leader="none"/>
              </w:tabs>
              <w:rPr/>
            </w:pPr>
            <w:r>
              <w:rPr/>
              <w:t>•</w:t>
            </w:r>
            <w:r>
              <w:rPr/>
              <w:tab/>
              <w:t>adjusted to eliminate current intercompany debt between the transferred group of entities and the remaining group of entities.</w:t>
            </w:r>
          </w:p>
          <w:p>
            <w:pPr>
              <w:pStyle w:val="Normal"/>
              <w:widowControl/>
              <w:tabs>
                <w:tab w:val="left" w:pos="720" w:leader="none"/>
                <w:tab w:val="left" w:pos="1440" w:leader="none"/>
                <w:tab w:val="left" w:pos="2160" w:leader="none"/>
                <w:tab w:val="left" w:pos="2880" w:leader="none"/>
              </w:tabs>
              <w:rPr/>
            </w:pPr>
            <w:r>
              <w:rPr/>
            </w:r>
          </w:p>
          <w:p>
            <w:pPr>
              <w:pStyle w:val="Normal"/>
              <w:widowControl/>
              <w:tabs>
                <w:tab w:val="left" w:pos="720" w:leader="none"/>
                <w:tab w:val="left" w:pos="1440" w:leader="none"/>
                <w:tab w:val="left" w:pos="2160" w:leader="none"/>
                <w:tab w:val="left" w:pos="2880" w:leader="none"/>
              </w:tabs>
              <w:rPr/>
            </w:pPr>
            <w:r>
              <w:rPr/>
              <w:t>•</w:t>
            </w:r>
            <w:r>
              <w:rPr/>
              <w:tab/>
              <w:t xml:space="preserve">increased by intercompany loans made by Eagle to EI that are not reflected in the book basis of Eagle’s investments in EI. </w:t>
            </w:r>
          </w:p>
        </w:tc>
      </w:tr>
    </w:tbl>
    <w:p>
      <w:pPr>
        <w:sectPr>
          <w:type w:val="nextPage"/>
          <w:pgSz w:w="12240" w:h="15840"/>
          <w:pgMar w:left="1440" w:right="1440" w:gutter="0" w:header="0" w:top="1440" w:footer="0" w:bottom="1440"/>
          <w:pgNumType w:fmt="decimal"/>
          <w:formProt w:val="false"/>
          <w:titlePg/>
          <w:textDirection w:val="lrTb"/>
          <w:docGrid w:type="default" w:linePitch="360" w:charSpace="0"/>
        </w:sectPr>
      </w:pPr>
    </w:p>
    <w:tbl>
      <w:tblPr>
        <w:tblW w:w="9360" w:type="dxa"/>
        <w:jc w:val="center"/>
        <w:tblInd w:w="0" w:type="dxa"/>
        <w:tblLayout w:type="fixed"/>
        <w:tblCellMar>
          <w:top w:w="0" w:type="dxa"/>
          <w:start w:w="100" w:type="dxa"/>
          <w:bottom w:w="0" w:type="dxa"/>
          <w:end w:w="100" w:type="dxa"/>
        </w:tblCellMar>
      </w:tblPr>
      <w:tblGrid>
        <w:gridCol w:w="2430"/>
        <w:gridCol w:w="6930"/>
      </w:tblGrid>
      <w:tr>
        <w:trPr>
          <w:trHeight w:val="403" w:hRule="atLeast"/>
        </w:trPr>
        <w:tc>
          <w:tcPr>
            <w:tcW w:w="2430" w:type="dxa"/>
            <w:tcBorders>
              <w:top w:val="single" w:sz="6" w:space="0" w:color="000000"/>
              <w:start w:val="single" w:sz="6" w:space="0" w:color="000000"/>
            </w:tcBorders>
          </w:tcPr>
          <w:p>
            <w:pPr>
              <w:pStyle w:val="Normal"/>
              <w:widowControl/>
              <w:rPr>
                <w:b/>
              </w:rPr>
            </w:pPr>
            <w:r>
              <w:rPr>
                <w:b/>
              </w:rPr>
              <w:t>Excluded Liabilities:</w:t>
            </w:r>
          </w:p>
        </w:tc>
        <w:tc>
          <w:tcPr>
            <w:tcW w:w="6930" w:type="dxa"/>
            <w:tcBorders>
              <w:top w:val="single" w:sz="6" w:space="0" w:color="000000"/>
              <w:start w:val="single" w:sz="6" w:space="0" w:color="000000"/>
              <w:end w:val="single" w:sz="6" w:space="0" w:color="000000"/>
            </w:tcBorders>
          </w:tcPr>
          <w:p>
            <w:pPr>
              <w:pStyle w:val="Normal"/>
              <w:widowControl/>
              <w:tabs>
                <w:tab w:val="left" w:pos="720" w:leader="none"/>
                <w:tab w:val="left" w:pos="1440" w:leader="none"/>
                <w:tab w:val="left" w:pos="2160" w:leader="none"/>
                <w:tab w:val="left" w:pos="2880" w:leader="none"/>
              </w:tabs>
              <w:rPr/>
            </w:pPr>
            <w:r>
              <w:rPr/>
              <w:t>•</w:t>
            </w:r>
            <w:r>
              <w:rPr/>
              <w:tab/>
              <w:t>Enron’s derivative share of the regulatory, cleanup and other costs of the Transredes oil spill;</w:t>
            </w:r>
          </w:p>
          <w:p>
            <w:pPr>
              <w:pStyle w:val="Normal"/>
              <w:widowControl/>
              <w:tabs>
                <w:tab w:val="left" w:pos="720" w:leader="none"/>
                <w:tab w:val="left" w:pos="1440" w:leader="none"/>
                <w:tab w:val="left" w:pos="2160" w:leader="none"/>
                <w:tab w:val="left" w:pos="2880" w:leader="none"/>
              </w:tabs>
              <w:rPr/>
            </w:pPr>
            <w:r>
              <w:rPr/>
            </w:r>
          </w:p>
          <w:p>
            <w:pPr>
              <w:pStyle w:val="Normal"/>
              <w:widowControl/>
              <w:tabs>
                <w:tab w:val="left" w:pos="720" w:leader="none"/>
                <w:tab w:val="left" w:pos="1440" w:leader="none"/>
                <w:tab w:val="left" w:pos="2160" w:leader="none"/>
                <w:tab w:val="left" w:pos="2880" w:leader="none"/>
              </w:tabs>
              <w:rPr/>
            </w:pPr>
            <w:r>
              <w:rPr/>
              <w:t>•</w:t>
            </w:r>
            <w:r>
              <w:rPr/>
              <w:tab/>
              <w:t>liabilities relating to the San Juan Gas explosion; and</w:t>
            </w:r>
          </w:p>
          <w:p>
            <w:pPr>
              <w:pStyle w:val="Normal"/>
              <w:widowControl/>
              <w:tabs>
                <w:tab w:val="left" w:pos="720" w:leader="none"/>
                <w:tab w:val="left" w:pos="1440" w:leader="none"/>
                <w:tab w:val="left" w:pos="2160" w:leader="none"/>
                <w:tab w:val="left" w:pos="2880" w:leader="none"/>
              </w:tabs>
              <w:rPr/>
            </w:pPr>
            <w:r>
              <w:rPr/>
            </w:r>
          </w:p>
          <w:p>
            <w:pPr>
              <w:pStyle w:val="1BulletList"/>
              <w:widowControl/>
              <w:numPr>
                <w:ilvl w:val="0"/>
                <w:numId w:val="1"/>
              </w:numPr>
              <w:tabs>
                <w:tab w:val="left" w:pos="720" w:leader="none"/>
                <w:tab w:val="left" w:pos="1440" w:leader="none"/>
                <w:tab w:val="left" w:pos="2160" w:leader="none"/>
                <w:tab w:val="left" w:pos="2880" w:leader="none"/>
              </w:tabs>
              <w:ind w:hanging="0" w:start="0" w:end="0"/>
              <w:jc w:val="start"/>
              <w:rPr/>
            </w:pPr>
            <w:r>
              <w:rPr/>
              <w:t>some portion of Eagle’s derivative share of the pending TGS stamp tax dispute. Eagle and Mint to develop more information as to the status of litigation and nature of reserves established.</w:t>
            </w:r>
          </w:p>
          <w:p>
            <w:pPr>
              <w:pStyle w:val="1BulletList"/>
              <w:widowControl/>
              <w:numPr>
                <w:ilvl w:val="0"/>
                <w:numId w:val="1"/>
              </w:numPr>
              <w:tabs>
                <w:tab w:val="left" w:pos="720" w:leader="none"/>
                <w:tab w:val="left" w:pos="1440" w:leader="none"/>
                <w:tab w:val="left" w:pos="2160" w:leader="none"/>
                <w:tab w:val="left" w:pos="2880" w:leader="none"/>
              </w:tabs>
              <w:ind w:hanging="0" w:start="0" w:end="0"/>
              <w:jc w:val="start"/>
              <w:rPr/>
            </w:pPr>
            <w:r>
              <w:rPr/>
            </w:r>
          </w:p>
          <w:p>
            <w:pPr>
              <w:pStyle w:val="1BulletList"/>
              <w:widowControl/>
              <w:numPr>
                <w:ilvl w:val="0"/>
                <w:numId w:val="1"/>
              </w:numPr>
              <w:tabs>
                <w:tab w:val="left" w:pos="720" w:leader="none"/>
                <w:tab w:val="left" w:pos="1440" w:leader="none"/>
                <w:tab w:val="left" w:pos="2160" w:leader="none"/>
                <w:tab w:val="left" w:pos="2880" w:leader="none"/>
              </w:tabs>
              <w:ind w:hanging="0" w:start="0" w:end="0"/>
              <w:jc w:val="start"/>
              <w:rPr/>
            </w:pPr>
            <w:r>
              <w:rPr/>
              <w:t>Otherwise, risk allocated on the basis of breaches of representations and warranties, not on the basis of any principles of  “our watch/your watch.”</w:t>
            </w:r>
          </w:p>
        </w:tc>
      </w:tr>
      <w:tr>
        <w:trPr>
          <w:trHeight w:val="403" w:hRule="atLeast"/>
        </w:trPr>
        <w:tc>
          <w:tcPr>
            <w:tcW w:w="2430" w:type="dxa"/>
            <w:tcBorders>
              <w:top w:val="single" w:sz="6" w:space="0" w:color="000000"/>
              <w:start w:val="single" w:sz="6" w:space="0" w:color="000000"/>
            </w:tcBorders>
          </w:tcPr>
          <w:p>
            <w:pPr>
              <w:pStyle w:val="Normal"/>
              <w:widowControl/>
              <w:rPr>
                <w:b/>
              </w:rPr>
            </w:pPr>
            <w:r>
              <w:rPr>
                <w:b/>
              </w:rPr>
              <w:t>Use of the Eagle Name:</w:t>
            </w:r>
          </w:p>
        </w:tc>
        <w:tc>
          <w:tcPr>
            <w:tcW w:w="6930" w:type="dxa"/>
            <w:tcBorders>
              <w:top w:val="single" w:sz="6" w:space="0" w:color="000000"/>
              <w:start w:val="single" w:sz="6" w:space="0" w:color="000000"/>
              <w:end w:val="single" w:sz="6" w:space="0" w:color="000000"/>
            </w:tcBorders>
          </w:tcPr>
          <w:p>
            <w:pPr>
              <w:pStyle w:val="Normal"/>
              <w:widowControl/>
              <w:rPr/>
            </w:pPr>
            <w:r>
              <w:rPr/>
              <w:t>Eagle and EI shall enter into a licensing agreement whereby EI shall have the right to use the name “Eagle International.”  EI shall not be entitled to use other derivations of the Eagle name such as “Broadband Services,” “Energy Services” or “Eagle Online,” nor shall EI be entitled to use Eagle’s logos. In addition, EI shall only be entitled to use the names “Eagle Wind Company” and “Eagle Engineering and Construction” for a six month transition period from Transaction close. Under certain circumstances, including entry by EI into new lines of business and material violations of law by EI, Eagle shall have the right to terminate the licensing agreement. The maximum term of the license shall vary by geographic region as outlined below:</w:t>
            </w:r>
          </w:p>
          <w:p>
            <w:pPr>
              <w:pStyle w:val="Normal"/>
              <w:widowControl/>
              <w:rPr/>
            </w:pPr>
            <w:r>
              <w:rPr/>
            </w:r>
          </w:p>
          <w:p>
            <w:pPr>
              <w:pStyle w:val="Normal"/>
              <w:widowControl/>
              <w:tabs>
                <w:tab w:val="left" w:pos="720" w:leader="none"/>
                <w:tab w:val="left" w:pos="1440" w:leader="none"/>
                <w:tab w:val="left" w:pos="2160" w:leader="none"/>
                <w:tab w:val="left" w:pos="2880" w:leader="none"/>
              </w:tabs>
              <w:rPr/>
            </w:pPr>
            <w:r>
              <w:rPr/>
              <w:t>•</w:t>
            </w:r>
            <w:r>
              <w:rPr/>
              <w:tab/>
              <w:t>For India, the Middle East, Africa, South America and the Carribean:  5 years;</w:t>
            </w:r>
          </w:p>
          <w:p>
            <w:pPr>
              <w:pStyle w:val="Normal"/>
              <w:widowControl/>
              <w:tabs>
                <w:tab w:val="left" w:pos="720" w:leader="none"/>
                <w:tab w:val="left" w:pos="1440" w:leader="none"/>
                <w:tab w:val="left" w:pos="2160" w:leader="none"/>
                <w:tab w:val="left" w:pos="2880" w:leader="none"/>
              </w:tabs>
              <w:rPr/>
            </w:pPr>
            <w:r>
              <w:rPr/>
            </w:r>
          </w:p>
          <w:p>
            <w:pPr>
              <w:pStyle w:val="Normal"/>
              <w:widowControl/>
              <w:tabs>
                <w:tab w:val="left" w:pos="720" w:leader="none"/>
                <w:tab w:val="left" w:pos="1440" w:leader="none"/>
                <w:tab w:val="left" w:pos="2160" w:leader="none"/>
                <w:tab w:val="left" w:pos="2880" w:leader="none"/>
              </w:tabs>
              <w:rPr/>
            </w:pPr>
            <w:r>
              <w:rPr/>
              <w:t>•</w:t>
            </w:r>
            <w:r>
              <w:rPr/>
              <w:tab/>
              <w:t>for Asia excluding Japan and Australia, 3 years; and</w:t>
            </w:r>
          </w:p>
          <w:p>
            <w:pPr>
              <w:pStyle w:val="Normal"/>
              <w:widowControl/>
              <w:tabs>
                <w:tab w:val="left" w:pos="720" w:leader="none"/>
                <w:tab w:val="left" w:pos="1440" w:leader="none"/>
                <w:tab w:val="left" w:pos="2160" w:leader="none"/>
                <w:tab w:val="left" w:pos="2880" w:leader="none"/>
              </w:tabs>
              <w:rPr/>
            </w:pPr>
            <w:r>
              <w:rPr/>
            </w:r>
          </w:p>
          <w:p>
            <w:pPr>
              <w:pStyle w:val="Normal"/>
              <w:widowControl/>
              <w:tabs>
                <w:tab w:val="left" w:pos="720" w:leader="none"/>
                <w:tab w:val="left" w:pos="1440" w:leader="none"/>
                <w:tab w:val="left" w:pos="2160" w:leader="none"/>
                <w:tab w:val="left" w:pos="2880" w:leader="none"/>
              </w:tabs>
              <w:rPr/>
            </w:pPr>
            <w:r>
              <w:rPr/>
              <w:t>•</w:t>
            </w:r>
            <w:r>
              <w:rPr/>
              <w:tab/>
              <w:t>EI shall not have the right to use the name Eagle International in North America or Europe, although this shall not preclude EI from conducting business in North America or Europe under another name.</w:t>
            </w:r>
          </w:p>
          <w:p>
            <w:pPr>
              <w:pStyle w:val="Normal"/>
              <w:widowControl/>
              <w:tabs>
                <w:tab w:val="left" w:pos="720" w:leader="none"/>
                <w:tab w:val="left" w:pos="1440" w:leader="none"/>
                <w:tab w:val="left" w:pos="2160" w:leader="none"/>
                <w:tab w:val="left" w:pos="2880" w:leader="none"/>
              </w:tabs>
              <w:rPr/>
            </w:pPr>
            <w:r>
              <w:rPr/>
            </w:r>
          </w:p>
          <w:p>
            <w:pPr>
              <w:pStyle w:val="Normal"/>
              <w:widowControl/>
              <w:tabs>
                <w:tab w:val="left" w:pos="720" w:leader="none"/>
                <w:tab w:val="left" w:pos="1440" w:leader="none"/>
                <w:tab w:val="left" w:pos="2160" w:leader="none"/>
                <w:tab w:val="left" w:pos="2880" w:leader="none"/>
              </w:tabs>
              <w:rPr/>
            </w:pPr>
            <w:r>
              <w:rPr/>
              <w:t>The license agreement shall terminate prior to the maximum term upon the following:</w:t>
            </w:r>
          </w:p>
          <w:p>
            <w:pPr>
              <w:pStyle w:val="Normal"/>
              <w:widowControl/>
              <w:tabs>
                <w:tab w:val="left" w:pos="720" w:leader="none"/>
                <w:tab w:val="left" w:pos="1440" w:leader="none"/>
                <w:tab w:val="left" w:pos="2160" w:leader="none"/>
                <w:tab w:val="left" w:pos="2880" w:leader="none"/>
              </w:tabs>
              <w:rPr/>
            </w:pPr>
            <w:r>
              <w:rPr/>
            </w:r>
          </w:p>
          <w:p>
            <w:pPr>
              <w:pStyle w:val="Normal"/>
              <w:widowControl/>
              <w:tabs>
                <w:tab w:val="left" w:pos="720" w:leader="none"/>
                <w:tab w:val="left" w:pos="1440" w:leader="none"/>
                <w:tab w:val="left" w:pos="2160" w:leader="none"/>
                <w:tab w:val="left" w:pos="2880" w:leader="none"/>
              </w:tabs>
              <w:rPr/>
            </w:pPr>
            <w:r>
              <w:rPr/>
              <w:t>•</w:t>
            </w:r>
            <w:r>
              <w:rPr/>
              <w:tab/>
              <w:t>Consummation of an initial public offering by EI;</w:t>
            </w:r>
          </w:p>
          <w:p>
            <w:pPr>
              <w:pStyle w:val="Normal"/>
              <w:widowControl/>
              <w:tabs>
                <w:tab w:val="left" w:pos="720" w:leader="none"/>
                <w:tab w:val="left" w:pos="1440" w:leader="none"/>
                <w:tab w:val="left" w:pos="2160" w:leader="none"/>
                <w:tab w:val="left" w:pos="2880" w:leader="none"/>
              </w:tabs>
              <w:rPr/>
            </w:pPr>
            <w:r>
              <w:rPr/>
            </w:r>
          </w:p>
          <w:p>
            <w:pPr>
              <w:pStyle w:val="Normal"/>
              <w:widowControl/>
              <w:tabs>
                <w:tab w:val="left" w:pos="720" w:leader="none"/>
                <w:tab w:val="left" w:pos="1440" w:leader="none"/>
                <w:tab w:val="left" w:pos="2160" w:leader="none"/>
                <w:tab w:val="left" w:pos="2880" w:leader="none"/>
              </w:tabs>
              <w:rPr/>
            </w:pPr>
            <w:r>
              <w:rPr/>
              <w:t>•</w:t>
            </w:r>
            <w:r>
              <w:rPr/>
              <w:tab/>
              <w:t xml:space="preserve">an investment by a strategic partner equal to or greater than the amount of the fully diluted equity held by Eagle or the granting to a new shareholder of board representation or other management rights equal to or greater than Eagle’s; or </w:t>
            </w:r>
          </w:p>
          <w:p>
            <w:pPr>
              <w:pStyle w:val="Normal"/>
              <w:widowControl/>
              <w:tabs>
                <w:tab w:val="left" w:pos="720" w:leader="none"/>
                <w:tab w:val="left" w:pos="1440" w:leader="none"/>
                <w:tab w:val="left" w:pos="2160" w:leader="none"/>
                <w:tab w:val="left" w:pos="2880" w:leader="none"/>
              </w:tabs>
              <w:rPr/>
            </w:pPr>
            <w:r>
              <w:rPr/>
            </w:r>
          </w:p>
          <w:p>
            <w:pPr>
              <w:pStyle w:val="Normal"/>
              <w:widowControl/>
              <w:tabs>
                <w:tab w:val="left" w:pos="720" w:leader="none"/>
                <w:tab w:val="left" w:pos="1440" w:leader="none"/>
                <w:tab w:val="left" w:pos="2160" w:leader="none"/>
                <w:tab w:val="left" w:pos="2880" w:leader="none"/>
              </w:tabs>
              <w:rPr/>
            </w:pPr>
            <w:r>
              <w:rPr/>
              <w:t>•</w:t>
            </w:r>
            <w:r>
              <w:rPr/>
              <w:tab/>
              <w:t>subject to a minimum term of 12 months, Eagle’s ownership interest is diluted below 10%.</w:t>
            </w:r>
          </w:p>
          <w:p>
            <w:pPr>
              <w:pStyle w:val="Normal"/>
              <w:widowControl/>
              <w:tabs>
                <w:tab w:val="left" w:pos="720" w:leader="none"/>
                <w:tab w:val="left" w:pos="1440" w:leader="none"/>
                <w:tab w:val="left" w:pos="2160" w:leader="none"/>
                <w:tab w:val="left" w:pos="2880" w:leader="none"/>
              </w:tabs>
              <w:rPr/>
            </w:pPr>
            <w:r>
              <w:rPr/>
            </w:r>
          </w:p>
          <w:p>
            <w:pPr>
              <w:pStyle w:val="Normal"/>
              <w:widowControl/>
              <w:tabs>
                <w:tab w:val="left" w:pos="720" w:leader="none"/>
                <w:tab w:val="left" w:pos="1440" w:leader="none"/>
                <w:tab w:val="left" w:pos="2160" w:leader="none"/>
                <w:tab w:val="left" w:pos="2880" w:leader="none"/>
              </w:tabs>
              <w:rPr>
                <w:i/>
                <w:i/>
              </w:rPr>
            </w:pPr>
            <w:r>
              <w:rPr/>
              <w:t>The agreement will provide for a [90] day transition period on termination except in the case of a public offering.</w:t>
            </w:r>
          </w:p>
          <w:p>
            <w:pPr>
              <w:pStyle w:val="Normal"/>
              <w:widowControl/>
              <w:tabs>
                <w:tab w:val="left" w:pos="720" w:leader="none"/>
                <w:tab w:val="left" w:pos="1440" w:leader="none"/>
                <w:tab w:val="left" w:pos="2160" w:leader="none"/>
                <w:tab w:val="left" w:pos="2880" w:leader="none"/>
              </w:tabs>
              <w:rPr>
                <w:i/>
                <w:i/>
              </w:rPr>
            </w:pPr>
            <w:r>
              <w:rPr>
                <w:i/>
              </w:rPr>
            </w:r>
          </w:p>
        </w:tc>
      </w:tr>
      <w:tr>
        <w:trPr>
          <w:trHeight w:val="403" w:hRule="atLeast"/>
        </w:trPr>
        <w:tc>
          <w:tcPr>
            <w:tcW w:w="2430" w:type="dxa"/>
            <w:tcBorders>
              <w:top w:val="single" w:sz="6" w:space="0" w:color="000000"/>
              <w:start w:val="single" w:sz="6" w:space="0" w:color="000000"/>
            </w:tcBorders>
          </w:tcPr>
          <w:p>
            <w:pPr>
              <w:pStyle w:val="Normal"/>
              <w:widowControl/>
              <w:rPr>
                <w:b/>
              </w:rPr>
            </w:pPr>
            <w:r>
              <w:rPr>
                <w:b/>
              </w:rPr>
              <w:t>Timing and Documentation:</w:t>
            </w:r>
          </w:p>
        </w:tc>
        <w:tc>
          <w:tcPr>
            <w:tcW w:w="6930" w:type="dxa"/>
            <w:tcBorders>
              <w:top w:val="single" w:sz="6" w:space="0" w:color="000000"/>
              <w:start w:val="single" w:sz="6" w:space="0" w:color="000000"/>
              <w:end w:val="single" w:sz="6" w:space="0" w:color="000000"/>
            </w:tcBorders>
          </w:tcPr>
          <w:p>
            <w:pPr>
              <w:pStyle w:val="Normal"/>
              <w:widowControl/>
              <w:rPr/>
            </w:pPr>
            <w:r>
              <w:rPr/>
              <w:t>A Purchase Agreement, to which is attached a form of Shareholders’ Agreement, is to be executed and delivered by ___________, 2000.</w:t>
            </w:r>
          </w:p>
          <w:p>
            <w:pPr>
              <w:pStyle w:val="Normal"/>
              <w:widowControl/>
              <w:rPr/>
            </w:pPr>
            <w:r>
              <w:rPr/>
            </w:r>
          </w:p>
          <w:p>
            <w:pPr>
              <w:pStyle w:val="Normal"/>
              <w:widowControl/>
              <w:rPr/>
            </w:pPr>
            <w:r>
              <w:rPr/>
              <w:t>The initial draft of the Shareholders’ Agreement will be prepared by Skadden.</w:t>
            </w:r>
          </w:p>
          <w:p>
            <w:pPr>
              <w:pStyle w:val="Normal"/>
              <w:widowControl/>
              <w:rPr/>
            </w:pPr>
            <w:r>
              <w:rPr/>
            </w:r>
          </w:p>
          <w:p>
            <w:pPr>
              <w:pStyle w:val="Normal"/>
              <w:widowControl/>
              <w:rPr/>
            </w:pPr>
            <w:r>
              <w:rPr/>
              <w:t>The initial draft of the Purchase Agreement and Name License will be prepared by VE.</w:t>
            </w:r>
          </w:p>
          <w:p>
            <w:pPr>
              <w:pStyle w:val="Normal"/>
              <w:widowControl/>
              <w:rPr/>
            </w:pPr>
            <w:r>
              <w:rPr/>
            </w:r>
          </w:p>
          <w:p>
            <w:pPr>
              <w:pStyle w:val="Normal"/>
              <w:widowControl/>
              <w:rPr/>
            </w:pPr>
            <w:r>
              <w:rPr/>
              <w:t>Initial drafts of the Purchase Agreement and Shareholders Agreement will be distributed by July 6.</w:t>
            </w:r>
          </w:p>
        </w:tc>
      </w:tr>
      <w:tr>
        <w:trPr>
          <w:trHeight w:val="403" w:hRule="atLeast"/>
        </w:trPr>
        <w:tc>
          <w:tcPr>
            <w:tcW w:w="2430" w:type="dxa"/>
            <w:tcBorders>
              <w:top w:val="single" w:sz="6" w:space="0" w:color="000000"/>
              <w:start w:val="single" w:sz="6" w:space="0" w:color="000000"/>
            </w:tcBorders>
          </w:tcPr>
          <w:p>
            <w:pPr>
              <w:pStyle w:val="Normal"/>
              <w:widowControl/>
              <w:rPr>
                <w:b/>
              </w:rPr>
            </w:pPr>
            <w:r>
              <w:rPr>
                <w:b/>
              </w:rPr>
              <w:t>Business Plan:</w:t>
            </w:r>
          </w:p>
        </w:tc>
        <w:tc>
          <w:tcPr>
            <w:tcW w:w="6930" w:type="dxa"/>
            <w:tcBorders>
              <w:top w:val="single" w:sz="6" w:space="0" w:color="000000"/>
              <w:start w:val="single" w:sz="6" w:space="0" w:color="000000"/>
              <w:end w:val="single" w:sz="6" w:space="0" w:color="000000"/>
            </w:tcBorders>
          </w:tcPr>
          <w:p>
            <w:pPr>
              <w:pStyle w:val="Normal"/>
              <w:widowControl/>
              <w:rPr/>
            </w:pPr>
            <w:r>
              <w:rPr/>
              <w:t>Mint will promptly share its business plan for EI with Eagle, including staffing, management compensation and capital structure.  In light of Eagle’s proposed 20% in EI, the business plan must be acceptable to Eagle in its reasonable judgment.</w:t>
            </w:r>
          </w:p>
        </w:tc>
      </w:tr>
      <w:tr>
        <w:trPr>
          <w:trHeight w:val="403" w:hRule="atLeast"/>
        </w:trPr>
        <w:tc>
          <w:tcPr>
            <w:tcW w:w="2430" w:type="dxa"/>
            <w:tcBorders>
              <w:top w:val="single" w:sz="6" w:space="0" w:color="000000"/>
              <w:start w:val="single" w:sz="6" w:space="0" w:color="000000"/>
            </w:tcBorders>
          </w:tcPr>
          <w:p>
            <w:pPr>
              <w:pStyle w:val="Normal"/>
              <w:widowControl/>
              <w:rPr>
                <w:b/>
              </w:rPr>
            </w:pPr>
            <w:r>
              <w:rPr>
                <w:b/>
              </w:rPr>
              <w:t>Purchase Agreement: Transaction Structure:</w:t>
            </w:r>
          </w:p>
        </w:tc>
        <w:tc>
          <w:tcPr>
            <w:tcW w:w="6930" w:type="dxa"/>
            <w:tcBorders>
              <w:top w:val="single" w:sz="6" w:space="0" w:color="000000"/>
              <w:start w:val="single" w:sz="6" w:space="0" w:color="000000"/>
              <w:end w:val="single" w:sz="6" w:space="0" w:color="000000"/>
            </w:tcBorders>
          </w:tcPr>
          <w:p>
            <w:pPr>
              <w:pStyle w:val="Normal"/>
              <w:widowControl/>
              <w:rPr/>
            </w:pPr>
            <w:r>
              <w:rPr/>
              <w:t xml:space="preserve">The Transaction will follow the ABC structure. </w:t>
            </w:r>
          </w:p>
        </w:tc>
      </w:tr>
      <w:tr>
        <w:trPr>
          <w:trHeight w:val="403" w:hRule="atLeast"/>
        </w:trPr>
        <w:tc>
          <w:tcPr>
            <w:tcW w:w="2430" w:type="dxa"/>
            <w:tcBorders>
              <w:top w:val="single" w:sz="6" w:space="0" w:color="000000"/>
              <w:start w:val="single" w:sz="6" w:space="0" w:color="000000"/>
            </w:tcBorders>
          </w:tcPr>
          <w:p>
            <w:pPr>
              <w:pStyle w:val="Normal"/>
              <w:widowControl/>
              <w:rPr>
                <w:b/>
              </w:rPr>
            </w:pPr>
            <w:r>
              <w:rPr>
                <w:b/>
              </w:rPr>
              <w:t>Purchase Agreement - Representations</w:t>
            </w:r>
          </w:p>
        </w:tc>
        <w:tc>
          <w:tcPr>
            <w:tcW w:w="6930" w:type="dxa"/>
            <w:tcBorders>
              <w:top w:val="single" w:sz="6" w:space="0" w:color="000000"/>
              <w:start w:val="single" w:sz="6" w:space="0" w:color="000000"/>
              <w:end w:val="single" w:sz="6" w:space="0" w:color="000000"/>
            </w:tcBorders>
          </w:tcPr>
          <w:p>
            <w:pPr>
              <w:pStyle w:val="Normal"/>
              <w:widowControl/>
              <w:tabs>
                <w:tab w:val="left" w:pos="720" w:leader="none"/>
                <w:tab w:val="left" w:pos="1440" w:leader="none"/>
                <w:tab w:val="left" w:pos="2160" w:leader="none"/>
                <w:tab w:val="left" w:pos="2880" w:leader="none"/>
              </w:tabs>
              <w:rPr/>
            </w:pPr>
            <w:r>
              <w:rPr/>
              <w:t>•</w:t>
            </w:r>
            <w:r>
              <w:rPr/>
              <w:tab/>
              <w:t>Representations will be categorized as nonoperational or operational;</w:t>
            </w:r>
          </w:p>
          <w:p>
            <w:pPr>
              <w:pStyle w:val="Normal"/>
              <w:widowControl/>
              <w:tabs>
                <w:tab w:val="left" w:pos="720" w:leader="none"/>
                <w:tab w:val="left" w:pos="1440" w:leader="none"/>
                <w:tab w:val="left" w:pos="2160" w:leader="none"/>
                <w:tab w:val="left" w:pos="2880" w:leader="none"/>
              </w:tabs>
              <w:rPr/>
            </w:pPr>
            <w:r>
              <w:rPr/>
            </w:r>
          </w:p>
          <w:p>
            <w:pPr>
              <w:pStyle w:val="Normal"/>
              <w:widowControl/>
              <w:tabs>
                <w:tab w:val="left" w:pos="720" w:leader="none"/>
                <w:tab w:val="left" w:pos="1440" w:leader="none"/>
                <w:tab w:val="left" w:pos="2160" w:leader="none"/>
                <w:tab w:val="left" w:pos="2880" w:leader="none"/>
              </w:tabs>
              <w:rPr/>
            </w:pPr>
            <w:r>
              <w:rPr/>
              <w:t>•</w:t>
            </w:r>
            <w:r>
              <w:rPr/>
              <w:tab/>
              <w:t>nonoperational representations will exclude those relating to regulatory approvals and third party contractual consents;</w:t>
            </w:r>
          </w:p>
          <w:p>
            <w:pPr>
              <w:pStyle w:val="Normal"/>
              <w:widowControl/>
              <w:tabs>
                <w:tab w:val="left" w:pos="720" w:leader="none"/>
                <w:tab w:val="left" w:pos="1440" w:leader="none"/>
                <w:tab w:val="left" w:pos="2160" w:leader="none"/>
                <w:tab w:val="left" w:pos="2880" w:leader="none"/>
              </w:tabs>
              <w:rPr/>
            </w:pPr>
            <w:r>
              <w:rPr/>
            </w:r>
          </w:p>
          <w:p>
            <w:pPr>
              <w:pStyle w:val="Normal"/>
              <w:widowControl/>
              <w:tabs>
                <w:tab w:val="left" w:pos="720" w:leader="none"/>
                <w:tab w:val="left" w:pos="1440" w:leader="none"/>
                <w:tab w:val="left" w:pos="2160" w:leader="none"/>
                <w:tab w:val="left" w:pos="2880" w:leader="none"/>
              </w:tabs>
              <w:rPr/>
            </w:pPr>
            <w:r>
              <w:rPr/>
              <w:t>•</w:t>
            </w:r>
            <w:r>
              <w:rPr/>
              <w:tab/>
              <w:t xml:space="preserve">nonoperational representations will survive closing indefinitely and operational representations will survive closing for one year; </w:t>
            </w:r>
          </w:p>
          <w:p>
            <w:pPr>
              <w:pStyle w:val="Normal"/>
              <w:widowControl/>
              <w:tabs>
                <w:tab w:val="left" w:pos="720" w:leader="none"/>
                <w:tab w:val="left" w:pos="1440" w:leader="none"/>
                <w:tab w:val="left" w:pos="2160" w:leader="none"/>
                <w:tab w:val="left" w:pos="2880" w:leader="none"/>
              </w:tabs>
              <w:rPr/>
            </w:pPr>
            <w:r>
              <w:rPr/>
            </w:r>
          </w:p>
          <w:p>
            <w:pPr>
              <w:pStyle w:val="Normal"/>
              <w:widowControl/>
              <w:tabs>
                <w:tab w:val="left" w:pos="720" w:leader="none"/>
                <w:tab w:val="left" w:pos="1440" w:leader="none"/>
                <w:tab w:val="left" w:pos="2160" w:leader="none"/>
                <w:tab w:val="left" w:pos="2880" w:leader="none"/>
              </w:tabs>
              <w:rPr/>
            </w:pPr>
            <w:r>
              <w:rPr/>
              <w:t>•</w:t>
            </w:r>
            <w:r>
              <w:rPr/>
              <w:tab/>
              <w:t>operational representations would be subject to knowledge of specified members of senior Eagle management (exclusive of personnel currently operating the assets) as to noncontrolled entities and with respect to all entities for periods prior to Eagle ownership;</w:t>
            </w:r>
          </w:p>
          <w:p>
            <w:pPr>
              <w:pStyle w:val="Normal"/>
              <w:widowControl/>
              <w:tabs>
                <w:tab w:val="left" w:pos="720" w:leader="none"/>
                <w:tab w:val="left" w:pos="1440" w:leader="none"/>
                <w:tab w:val="left" w:pos="2160" w:leader="none"/>
                <w:tab w:val="left" w:pos="2880" w:leader="none"/>
              </w:tabs>
              <w:rPr/>
            </w:pPr>
            <w:r>
              <w:rPr/>
            </w:r>
          </w:p>
          <w:p>
            <w:pPr>
              <w:pStyle w:val="Normal"/>
              <w:widowControl/>
              <w:tabs>
                <w:tab w:val="left" w:pos="720" w:leader="none"/>
                <w:tab w:val="left" w:pos="1440" w:leader="none"/>
                <w:tab w:val="left" w:pos="2160" w:leader="none"/>
                <w:tab w:val="left" w:pos="2880" w:leader="none"/>
              </w:tabs>
              <w:rPr/>
            </w:pPr>
            <w:r>
              <w:rPr/>
              <w:t>•</w:t>
            </w:r>
            <w:r>
              <w:rPr/>
              <w:tab/>
              <w:t xml:space="preserve">all representations would be subject to a “materiality” qualifier which would be an agreed dollar amount.  </w:t>
            </w:r>
          </w:p>
          <w:p>
            <w:pPr>
              <w:pStyle w:val="Normal"/>
              <w:widowControl/>
              <w:tabs>
                <w:tab w:val="left" w:pos="720" w:leader="none"/>
                <w:tab w:val="left" w:pos="1440" w:leader="none"/>
                <w:tab w:val="left" w:pos="2160" w:leader="none"/>
                <w:tab w:val="left" w:pos="2880" w:leader="none"/>
              </w:tabs>
              <w:rPr/>
            </w:pPr>
            <w:r>
              <w:rPr/>
            </w:r>
          </w:p>
          <w:p>
            <w:pPr>
              <w:pStyle w:val="Normal"/>
              <w:widowControl/>
              <w:tabs>
                <w:tab w:val="left" w:pos="720" w:leader="none"/>
                <w:tab w:val="left" w:pos="1440" w:leader="none"/>
                <w:tab w:val="left" w:pos="2160" w:leader="none"/>
                <w:tab w:val="left" w:pos="2880" w:leader="none"/>
              </w:tabs>
              <w:rPr/>
            </w:pPr>
            <w:r>
              <w:rPr/>
              <w:t>•</w:t>
            </w:r>
            <w:r>
              <w:rPr/>
              <w:tab/>
              <w:t>operational representations would include a Material Adverse Change representation that would exclude industry-wide and country-wide economic, currency, regulatory or similar changes as opposed to regulatory actions directed at a particular project. For the purpose of this representation and the condition to Closing “Material Adverse Change” would be defined as material and adverse to the Businesses as a whole or to certain designated strategic groups of Businesses;</w:t>
            </w:r>
          </w:p>
          <w:p>
            <w:pPr>
              <w:pStyle w:val="Normal"/>
              <w:widowControl/>
              <w:tabs>
                <w:tab w:val="left" w:pos="720" w:leader="none"/>
                <w:tab w:val="left" w:pos="1440" w:leader="none"/>
                <w:tab w:val="left" w:pos="2160" w:leader="none"/>
                <w:tab w:val="left" w:pos="2880" w:leader="none"/>
              </w:tabs>
              <w:rPr/>
            </w:pPr>
            <w:r>
              <w:rPr/>
            </w:r>
          </w:p>
          <w:p>
            <w:pPr>
              <w:pStyle w:val="Normal"/>
              <w:widowControl/>
              <w:tabs>
                <w:tab w:val="left" w:pos="720" w:leader="none"/>
                <w:tab w:val="left" w:pos="1440" w:leader="none"/>
                <w:tab w:val="left" w:pos="2160" w:leader="none"/>
                <w:tab w:val="left" w:pos="2880" w:leader="none"/>
              </w:tabs>
              <w:rPr/>
            </w:pPr>
            <w:r>
              <w:rPr/>
              <w:t>•</w:t>
            </w:r>
            <w:r>
              <w:rPr/>
              <w:tab/>
              <w:t>Mint would be indemnified by Eagle with respect to its surviving representations and any such Eagle obligation will be payable in cash;</w:t>
            </w:r>
          </w:p>
          <w:p>
            <w:pPr>
              <w:pStyle w:val="Normal"/>
              <w:widowControl/>
              <w:tabs>
                <w:tab w:val="left" w:pos="720" w:leader="none"/>
                <w:tab w:val="left" w:pos="1440" w:leader="none"/>
                <w:tab w:val="left" w:pos="2160" w:leader="none"/>
                <w:tab w:val="left" w:pos="2880" w:leader="none"/>
              </w:tabs>
              <w:rPr/>
            </w:pPr>
            <w:r>
              <w:rPr/>
            </w:r>
          </w:p>
          <w:p>
            <w:pPr>
              <w:pStyle w:val="Normal"/>
              <w:widowControl/>
              <w:tabs>
                <w:tab w:val="left" w:pos="720" w:leader="none"/>
                <w:tab w:val="left" w:pos="1440" w:leader="none"/>
                <w:tab w:val="left" w:pos="2160" w:leader="none"/>
                <w:tab w:val="left" w:pos="2880" w:leader="none"/>
              </w:tabs>
              <w:rPr/>
            </w:pPr>
            <w:r>
              <w:rPr/>
              <w:t>•</w:t>
            </w:r>
            <w:r>
              <w:rPr/>
              <w:tab/>
              <w:t>for indemnification purposes, Eagle’s surviving operational representations would be qualified in a manner to be determined as to knowledge of specified members of Eagle’s senior management (exclusive of the personnel currently operating the assets);</w:t>
            </w:r>
          </w:p>
          <w:p>
            <w:pPr>
              <w:pStyle w:val="Normal"/>
              <w:widowControl/>
              <w:tabs>
                <w:tab w:val="left" w:pos="720" w:leader="none"/>
                <w:tab w:val="left" w:pos="1440" w:leader="none"/>
                <w:tab w:val="left" w:pos="2160" w:leader="none"/>
                <w:tab w:val="left" w:pos="2880" w:leader="none"/>
              </w:tabs>
              <w:rPr/>
            </w:pPr>
            <w:r>
              <w:rPr/>
            </w:r>
          </w:p>
          <w:p>
            <w:pPr>
              <w:pStyle w:val="Normal"/>
              <w:widowControl/>
              <w:tabs>
                <w:tab w:val="left" w:pos="720" w:leader="none"/>
                <w:tab w:val="left" w:pos="1440" w:leader="none"/>
                <w:tab w:val="left" w:pos="2160" w:leader="none"/>
                <w:tab w:val="left" w:pos="2880" w:leader="none"/>
              </w:tabs>
              <w:rPr/>
            </w:pPr>
            <w:r>
              <w:rPr/>
              <w:t>•</w:t>
            </w:r>
            <w:r>
              <w:rPr/>
              <w:tab/>
              <w:t>For indemnification purposes, Eagle’s indemnification exposure would be subject to a deductible basket and capped at a certain amount.  Actual fraud and fundamental failure of consideration would not be subjected to the ‘Cap’ in a manner to be determined; and</w:t>
            </w:r>
          </w:p>
          <w:p>
            <w:pPr>
              <w:pStyle w:val="Normal"/>
              <w:widowControl/>
              <w:tabs>
                <w:tab w:val="left" w:pos="720" w:leader="none"/>
                <w:tab w:val="left" w:pos="1440" w:leader="none"/>
                <w:tab w:val="left" w:pos="2160" w:leader="none"/>
                <w:tab w:val="left" w:pos="2880" w:leader="none"/>
              </w:tabs>
              <w:rPr/>
            </w:pPr>
            <w:r>
              <w:rPr/>
            </w:r>
          </w:p>
          <w:p>
            <w:pPr>
              <w:pStyle w:val="Normal"/>
              <w:widowControl/>
              <w:tabs>
                <w:tab w:val="left" w:pos="720" w:leader="none"/>
                <w:tab w:val="left" w:pos="1440" w:leader="none"/>
                <w:tab w:val="left" w:pos="2160" w:leader="none"/>
                <w:tab w:val="left" w:pos="2880" w:leader="none"/>
              </w:tabs>
              <w:rPr/>
            </w:pPr>
            <w:r>
              <w:rPr/>
              <w:t>•</w:t>
            </w:r>
            <w:r>
              <w:rPr/>
              <w:tab/>
              <w:t xml:space="preserve">Eagle will not be in breach of a representation if the substance of the breach were actually known to Mint or its advisors (other than management personnel operating the assets) at the time of making the representation. would </w:t>
            </w:r>
          </w:p>
        </w:tc>
      </w:tr>
      <w:tr>
        <w:trPr>
          <w:trHeight w:val="403" w:hRule="atLeast"/>
        </w:trPr>
        <w:tc>
          <w:tcPr>
            <w:tcW w:w="2430" w:type="dxa"/>
            <w:tcBorders>
              <w:top w:val="single" w:sz="6" w:space="0" w:color="000000"/>
              <w:start w:val="single" w:sz="6" w:space="0" w:color="000000"/>
            </w:tcBorders>
          </w:tcPr>
          <w:p>
            <w:pPr>
              <w:pStyle w:val="Normal"/>
              <w:widowControl/>
              <w:snapToGrid w:val="false"/>
              <w:rPr/>
            </w:pPr>
            <w:r>
              <w:rPr/>
            </w:r>
          </w:p>
        </w:tc>
        <w:tc>
          <w:tcPr>
            <w:tcW w:w="6930" w:type="dxa"/>
            <w:tcBorders>
              <w:top w:val="single" w:sz="6" w:space="0" w:color="000000"/>
              <w:start w:val="single" w:sz="6" w:space="0" w:color="000000"/>
              <w:end w:val="single" w:sz="6" w:space="0" w:color="000000"/>
            </w:tcBorders>
          </w:tcPr>
          <w:p>
            <w:pPr>
              <w:pStyle w:val="Normal"/>
              <w:widowControl/>
              <w:rPr/>
            </w:pPr>
            <w:r>
              <w:rPr/>
              <w:t>would not be subjected to ‘Cap’ in a manner to be determined.</w:t>
            </w:r>
          </w:p>
        </w:tc>
      </w:tr>
      <w:tr>
        <w:trPr>
          <w:trHeight w:val="403" w:hRule="atLeast"/>
        </w:trPr>
        <w:tc>
          <w:tcPr>
            <w:tcW w:w="2430" w:type="dxa"/>
            <w:tcBorders>
              <w:top w:val="single" w:sz="6" w:space="0" w:color="000000"/>
              <w:start w:val="single" w:sz="6" w:space="0" w:color="000000"/>
            </w:tcBorders>
          </w:tcPr>
          <w:p>
            <w:pPr>
              <w:pStyle w:val="Normal"/>
              <w:widowControl/>
              <w:rPr/>
            </w:pPr>
            <w:r>
              <w:rPr>
                <w:b/>
              </w:rPr>
              <w:t>Purchase Agreement:  Covenants -  Transfer of Assets</w:t>
            </w:r>
            <w:r>
              <w:rPr/>
              <w:t xml:space="preserve">  </w:t>
            </w:r>
          </w:p>
        </w:tc>
        <w:tc>
          <w:tcPr>
            <w:tcW w:w="6930" w:type="dxa"/>
            <w:tcBorders>
              <w:top w:val="single" w:sz="6" w:space="0" w:color="000000"/>
              <w:start w:val="single" w:sz="6" w:space="0" w:color="000000"/>
              <w:end w:val="single" w:sz="6" w:space="0" w:color="000000"/>
            </w:tcBorders>
          </w:tcPr>
          <w:p>
            <w:pPr>
              <w:pStyle w:val="Normal"/>
              <w:widowControl/>
              <w:rPr/>
            </w:pPr>
            <w:r>
              <w:rPr/>
              <w:t>Mutual covenant regarding the necessity of obtaining listed third party consents and regulatory approvals and cooperation in a continuing review of the remaining asset documentation in order to amend the annex to reflect the results of that review.</w:t>
            </w:r>
          </w:p>
          <w:p>
            <w:pPr>
              <w:pStyle w:val="Normal"/>
              <w:widowControl/>
              <w:rPr/>
            </w:pPr>
            <w:r>
              <w:rPr/>
            </w:r>
          </w:p>
          <w:p>
            <w:pPr>
              <w:pStyle w:val="Normal"/>
              <w:widowControl/>
              <w:rPr/>
            </w:pPr>
            <w:r>
              <w:rPr/>
              <w:t>Mutual covenant to use all “commercially reasonable efforts” to obtain listed third party consents and regulatory approvals. “Commercially reasonable efforts” will be defined in a separate, privileged document.</w:t>
            </w:r>
          </w:p>
          <w:p>
            <w:pPr>
              <w:pStyle w:val="Normal"/>
              <w:widowControl/>
              <w:rPr/>
            </w:pPr>
            <w:r>
              <w:rPr/>
            </w:r>
          </w:p>
          <w:p>
            <w:pPr>
              <w:pStyle w:val="Normal"/>
              <w:widowControl/>
              <w:rPr/>
            </w:pPr>
            <w:r>
              <w:rPr/>
              <w:t>Mutual covenant to share equally the mutually approved costs (other than the costs associated with regulatory conditions imposed in connection with asset transfer approvals, which will be for the account of EI) associated with obtaining consents from lenders, partners and/or regulatory bodies prior to closing and in a manner and to the extent to be determined, after the closing.</w:t>
            </w:r>
          </w:p>
        </w:tc>
      </w:tr>
      <w:tr>
        <w:trPr>
          <w:trHeight w:val="403" w:hRule="atLeast"/>
        </w:trPr>
        <w:tc>
          <w:tcPr>
            <w:tcW w:w="2430" w:type="dxa"/>
            <w:tcBorders>
              <w:top w:val="single" w:sz="6" w:space="0" w:color="000000"/>
              <w:start w:val="single" w:sz="6" w:space="0" w:color="000000"/>
            </w:tcBorders>
          </w:tcPr>
          <w:p>
            <w:pPr>
              <w:pStyle w:val="Normal"/>
              <w:widowControl/>
              <w:rPr>
                <w:b/>
              </w:rPr>
            </w:pPr>
            <w:r>
              <w:rPr>
                <w:b/>
              </w:rPr>
              <w:t>Purchase Agreement: Covenants - Related Party Contracts</w:t>
            </w:r>
          </w:p>
        </w:tc>
        <w:tc>
          <w:tcPr>
            <w:tcW w:w="6930" w:type="dxa"/>
            <w:tcBorders>
              <w:top w:val="single" w:sz="6" w:space="0" w:color="000000"/>
              <w:start w:val="single" w:sz="6" w:space="0" w:color="000000"/>
              <w:end w:val="single" w:sz="6" w:space="0" w:color="000000"/>
            </w:tcBorders>
          </w:tcPr>
          <w:p>
            <w:pPr>
              <w:pStyle w:val="Normal"/>
              <w:widowControl/>
              <w:rPr/>
            </w:pPr>
            <w:r>
              <w:rPr/>
              <w:t>The parties will negotiate and execute an offtake contract from the Elba Island, Georgia regasification capacity contract. A Task Force will work out the terms of this arrangement.</w:t>
            </w:r>
          </w:p>
          <w:p>
            <w:pPr>
              <w:pStyle w:val="Normal"/>
              <w:widowControl/>
              <w:rPr/>
            </w:pPr>
            <w:r>
              <w:rPr/>
            </w:r>
          </w:p>
          <w:p>
            <w:pPr>
              <w:pStyle w:val="Normal"/>
              <w:widowControl/>
              <w:rPr/>
            </w:pPr>
            <w:r>
              <w:rPr/>
              <w:t>Covenant to continue, terminate or amend identified related party contracts as agreed.</w:t>
            </w:r>
          </w:p>
          <w:p>
            <w:pPr>
              <w:pStyle w:val="Normal"/>
              <w:widowControl/>
              <w:rPr/>
            </w:pPr>
            <w:r>
              <w:rPr/>
            </w:r>
          </w:p>
          <w:p>
            <w:pPr>
              <w:pStyle w:val="Normal"/>
              <w:widowControl/>
              <w:rPr/>
            </w:pPr>
            <w:r>
              <w:rPr/>
              <w:t>Mutual covenant to continue to search for and identify any theretofore unidentified related party contracts.  Failing agreement of the parties, newly identified related party contracts that are immediately terminable would be terminated at closing and those that are not would be terminated as soon as permissible by the terms of the contract.</w:t>
            </w:r>
            <w:r>
              <w:rPr>
                <w:b/>
                <w:i/>
              </w:rPr>
              <w:t xml:space="preserve"> </w:t>
            </w:r>
            <w:r>
              <w:rPr/>
              <w:t xml:space="preserve"> A Task Force will be formed to identify and make recommendations as to the disposition of related party controls.</w:t>
            </w:r>
          </w:p>
        </w:tc>
      </w:tr>
      <w:tr>
        <w:trPr>
          <w:trHeight w:val="403" w:hRule="atLeast"/>
        </w:trPr>
        <w:tc>
          <w:tcPr>
            <w:tcW w:w="2430" w:type="dxa"/>
            <w:tcBorders>
              <w:top w:val="single" w:sz="6" w:space="0" w:color="000000"/>
              <w:start w:val="single" w:sz="6" w:space="0" w:color="000000"/>
            </w:tcBorders>
          </w:tcPr>
          <w:p>
            <w:pPr>
              <w:pStyle w:val="Normal"/>
              <w:widowControl/>
              <w:rPr>
                <w:b/>
              </w:rPr>
            </w:pPr>
            <w:r>
              <w:rPr>
                <w:b/>
              </w:rPr>
              <w:t>Purchase Agreement:  Covenants - Guarantees, etc.</w:t>
            </w:r>
          </w:p>
        </w:tc>
        <w:tc>
          <w:tcPr>
            <w:tcW w:w="6930" w:type="dxa"/>
            <w:tcBorders>
              <w:top w:val="single" w:sz="6" w:space="0" w:color="000000"/>
              <w:start w:val="single" w:sz="6" w:space="0" w:color="000000"/>
              <w:end w:val="single" w:sz="6" w:space="0" w:color="000000"/>
            </w:tcBorders>
          </w:tcPr>
          <w:p>
            <w:pPr>
              <w:pStyle w:val="Normal"/>
              <w:widowControl/>
              <w:rPr/>
            </w:pPr>
            <w:r>
              <w:rPr/>
              <w:t>Guarantees issued in lieu of cash reserve and similar requirements would be continued by Eagle or, at its option, the cash reserve would be replaced.  Mint would indemnify Eagle with respect to any loss incurred by Eagle regarding any other financial guarantee or performance bond related to the assets and operations listed in Appendix A.  Pending closing and after closing, Mint will use commercially reasonable efforts to substitute Mint or EI credit for that of Eagle and to therefore release Eagle from such guarantees.</w:t>
            </w:r>
          </w:p>
          <w:p>
            <w:pPr>
              <w:pStyle w:val="Normal"/>
              <w:widowControl/>
              <w:rPr/>
            </w:pPr>
            <w:r>
              <w:rPr/>
            </w:r>
          </w:p>
          <w:p>
            <w:pPr>
              <w:pStyle w:val="Normal"/>
              <w:widowControl/>
              <w:rPr/>
            </w:pPr>
            <w:r>
              <w:rPr/>
              <w:t>Following closing, Eagle will not be required to provide or to pay for new guarantees except the parties will continue to discuss Mint’s request that Eagle continue to provide new guarantees of EE&amp;CC for a transition period and at a cost to be determined.  A Task Force will be formed to evaluate this issue.</w:t>
            </w:r>
          </w:p>
        </w:tc>
      </w:tr>
      <w:tr>
        <w:trPr>
          <w:trHeight w:val="403" w:hRule="atLeast"/>
        </w:trPr>
        <w:tc>
          <w:tcPr>
            <w:tcW w:w="2430" w:type="dxa"/>
            <w:tcBorders>
              <w:top w:val="single" w:sz="6" w:space="0" w:color="000000"/>
              <w:start w:val="single" w:sz="6" w:space="0" w:color="000000"/>
            </w:tcBorders>
          </w:tcPr>
          <w:p>
            <w:pPr>
              <w:pStyle w:val="Normal"/>
              <w:widowControl/>
              <w:rPr>
                <w:b/>
              </w:rPr>
            </w:pPr>
            <w:r>
              <w:rPr>
                <w:b/>
              </w:rPr>
              <w:t>Purchase Agreement: Conditions Precedent:</w:t>
            </w:r>
          </w:p>
        </w:tc>
        <w:tc>
          <w:tcPr>
            <w:tcW w:w="6930" w:type="dxa"/>
            <w:tcBorders>
              <w:top w:val="single" w:sz="6" w:space="0" w:color="000000"/>
              <w:start w:val="single" w:sz="6" w:space="0" w:color="000000"/>
              <w:end w:val="single" w:sz="6" w:space="0" w:color="000000"/>
            </w:tcBorders>
          </w:tcPr>
          <w:p>
            <w:pPr>
              <w:pStyle w:val="Normal"/>
              <w:widowControl/>
              <w:rPr/>
            </w:pPr>
            <w:r>
              <w:rPr/>
              <w:t>The only transfer issue that will constitute a Condition Precedent under the ABC structure is receipt of ANEEL approval of the transfer of Elektro to Entity “C”.</w:t>
            </w:r>
          </w:p>
          <w:p>
            <w:pPr>
              <w:pStyle w:val="Normal"/>
              <w:widowControl/>
              <w:rPr/>
            </w:pPr>
            <w:r>
              <w:rPr/>
            </w:r>
          </w:p>
          <w:p>
            <w:pPr>
              <w:pStyle w:val="Normal"/>
              <w:widowControl/>
              <w:rPr/>
            </w:pPr>
            <w:r>
              <w:rPr/>
              <w:t>Closing would otherwise be conditioned on:</w:t>
            </w:r>
          </w:p>
          <w:p>
            <w:pPr>
              <w:pStyle w:val="Normal"/>
              <w:widowControl/>
              <w:rPr/>
            </w:pPr>
            <w:r>
              <w:rPr/>
            </w:r>
          </w:p>
          <w:p>
            <w:pPr>
              <w:pStyle w:val="Normal"/>
              <w:widowControl/>
              <w:tabs>
                <w:tab w:val="left" w:pos="720" w:leader="none"/>
                <w:tab w:val="left" w:pos="1440" w:leader="none"/>
                <w:tab w:val="left" w:pos="2160" w:leader="none"/>
                <w:tab w:val="left" w:pos="2880" w:leader="none"/>
              </w:tabs>
              <w:rPr/>
            </w:pPr>
            <w:r>
              <w:rPr/>
              <w:t>•</w:t>
            </w:r>
            <w:r>
              <w:rPr/>
              <w:tab/>
              <w:t>In the case of Eagle, confirmation of its representations, subject to the noncontrol and preownership knowledge qualifiers and subject to exceptions that do not result in a Material Adverse Change (“Businesses as a whole or strategic groups of Businesses”);</w:t>
            </w:r>
          </w:p>
          <w:p>
            <w:pPr>
              <w:pStyle w:val="Normal"/>
              <w:widowControl/>
              <w:tabs>
                <w:tab w:val="left" w:pos="720" w:leader="none"/>
                <w:tab w:val="left" w:pos="1440" w:leader="none"/>
                <w:tab w:val="left" w:pos="2160" w:leader="none"/>
                <w:tab w:val="left" w:pos="2880" w:leader="none"/>
              </w:tabs>
              <w:rPr/>
            </w:pPr>
            <w:r>
              <w:rPr/>
            </w:r>
          </w:p>
          <w:p>
            <w:pPr>
              <w:pStyle w:val="Normal"/>
              <w:widowControl/>
              <w:tabs>
                <w:tab w:val="left" w:pos="720" w:leader="none"/>
                <w:tab w:val="left" w:pos="1440" w:leader="none"/>
                <w:tab w:val="left" w:pos="2160" w:leader="none"/>
                <w:tab w:val="left" w:pos="2880" w:leader="none"/>
              </w:tabs>
              <w:rPr/>
            </w:pPr>
            <w:r>
              <w:rPr/>
              <w:t>•</w:t>
            </w:r>
            <w:r>
              <w:rPr/>
              <w:tab/>
              <w:t>there will be no condition precedent as to any conditions imposed by regulatory authorities  in connection with asset transfer approvals unless they amount to a Material Adverse Change;</w:t>
            </w:r>
          </w:p>
          <w:p>
            <w:pPr>
              <w:pStyle w:val="Normal"/>
              <w:widowControl/>
              <w:tabs>
                <w:tab w:val="left" w:pos="720" w:leader="none"/>
                <w:tab w:val="left" w:pos="1440" w:leader="none"/>
                <w:tab w:val="left" w:pos="2160" w:leader="none"/>
                <w:tab w:val="left" w:pos="2880" w:leader="none"/>
              </w:tabs>
              <w:rPr/>
            </w:pPr>
            <w:r>
              <w:rPr/>
            </w:r>
          </w:p>
          <w:p>
            <w:pPr>
              <w:pStyle w:val="Normal"/>
              <w:widowControl/>
              <w:tabs>
                <w:tab w:val="left" w:pos="720" w:leader="none"/>
                <w:tab w:val="left" w:pos="1440" w:leader="none"/>
                <w:tab w:val="left" w:pos="2160" w:leader="none"/>
                <w:tab w:val="left" w:pos="2880" w:leader="none"/>
              </w:tabs>
              <w:rPr/>
            </w:pPr>
            <w:r>
              <w:rPr/>
              <w:t>•</w:t>
            </w:r>
            <w:r>
              <w:rPr/>
              <w:tab/>
              <w:t>the absence of any serious legal impediment to closing such as a permanent or preliminary injunction;</w:t>
            </w:r>
          </w:p>
          <w:p>
            <w:pPr>
              <w:pStyle w:val="Normal"/>
              <w:widowControl/>
              <w:tabs>
                <w:tab w:val="left" w:pos="720" w:leader="none"/>
                <w:tab w:val="left" w:pos="1440" w:leader="none"/>
                <w:tab w:val="left" w:pos="2160" w:leader="none"/>
                <w:tab w:val="left" w:pos="2880" w:leader="none"/>
              </w:tabs>
              <w:rPr/>
            </w:pPr>
            <w:r>
              <w:rPr/>
            </w:r>
          </w:p>
          <w:p>
            <w:pPr>
              <w:pStyle w:val="Normal"/>
              <w:widowControl/>
              <w:tabs>
                <w:tab w:val="left" w:pos="720" w:leader="none"/>
                <w:tab w:val="left" w:pos="1440" w:leader="none"/>
                <w:tab w:val="left" w:pos="2160" w:leader="none"/>
                <w:tab w:val="left" w:pos="2880" w:leader="none"/>
              </w:tabs>
              <w:rPr/>
            </w:pPr>
            <w:r>
              <w:rPr/>
              <w:t>•</w:t>
            </w:r>
            <w:r>
              <w:rPr/>
              <w:tab/>
              <w:t>execution of a Shareholders’ Agreement, a Transition Agreement, License Agreement regarding the name and other closing agreements referenced herein.</w:t>
            </w:r>
          </w:p>
        </w:tc>
      </w:tr>
      <w:tr>
        <w:trPr>
          <w:trHeight w:val="403" w:hRule="atLeast"/>
        </w:trPr>
        <w:tc>
          <w:tcPr>
            <w:tcW w:w="2430" w:type="dxa"/>
            <w:tcBorders>
              <w:top w:val="single" w:sz="6" w:space="0" w:color="000000"/>
              <w:start w:val="single" w:sz="6" w:space="0" w:color="000000"/>
            </w:tcBorders>
          </w:tcPr>
          <w:p>
            <w:pPr>
              <w:pStyle w:val="Normal"/>
              <w:widowControl/>
              <w:rPr>
                <w:b/>
              </w:rPr>
            </w:pPr>
            <w:r>
              <w:rPr>
                <w:b/>
              </w:rPr>
              <w:t>Purchase Agreement:  Closing</w:t>
            </w:r>
          </w:p>
        </w:tc>
        <w:tc>
          <w:tcPr>
            <w:tcW w:w="6930" w:type="dxa"/>
            <w:tcBorders>
              <w:top w:val="single" w:sz="6" w:space="0" w:color="000000"/>
              <w:start w:val="single" w:sz="6" w:space="0" w:color="000000"/>
              <w:end w:val="single" w:sz="6" w:space="0" w:color="000000"/>
            </w:tcBorders>
          </w:tcPr>
          <w:p>
            <w:pPr>
              <w:pStyle w:val="Normal"/>
              <w:widowControl/>
              <w:rPr/>
            </w:pPr>
            <w:r>
              <w:rPr/>
              <w:t>To occur within ten days of fulfillment of last closing condition.</w:t>
            </w:r>
          </w:p>
        </w:tc>
      </w:tr>
      <w:tr>
        <w:trPr>
          <w:trHeight w:val="403" w:hRule="atLeast"/>
        </w:trPr>
        <w:tc>
          <w:tcPr>
            <w:tcW w:w="2430" w:type="dxa"/>
            <w:tcBorders>
              <w:top w:val="single" w:sz="6" w:space="0" w:color="000000"/>
              <w:start w:val="single" w:sz="6" w:space="0" w:color="000000"/>
            </w:tcBorders>
          </w:tcPr>
          <w:p>
            <w:pPr>
              <w:pStyle w:val="Normal"/>
              <w:widowControl/>
              <w:rPr>
                <w:b/>
              </w:rPr>
            </w:pPr>
            <w:r>
              <w:rPr>
                <w:b/>
              </w:rPr>
              <w:t>Purchase Agreement:  Termination</w:t>
            </w:r>
          </w:p>
        </w:tc>
        <w:tc>
          <w:tcPr>
            <w:tcW w:w="6930" w:type="dxa"/>
            <w:tcBorders>
              <w:top w:val="single" w:sz="6" w:space="0" w:color="000000"/>
              <w:start w:val="single" w:sz="6" w:space="0" w:color="000000"/>
              <w:end w:val="single" w:sz="6" w:space="0" w:color="000000"/>
            </w:tcBorders>
          </w:tcPr>
          <w:p>
            <w:pPr>
              <w:pStyle w:val="Normal"/>
              <w:widowControl/>
              <w:rPr/>
            </w:pPr>
            <w:r>
              <w:rPr/>
              <w:t>Either party shall have the right to terminate the agreement if the closing has not occurred on or before a date certain that allows a reasonable period for ANEEL approval of the transfer of Elektro plus sixty days, subject to extension for up to an additional ____ if either party reasonably believes that such approval will be received during such extension period.</w:t>
            </w:r>
          </w:p>
        </w:tc>
      </w:tr>
      <w:tr>
        <w:trPr>
          <w:trHeight w:val="403" w:hRule="atLeast"/>
        </w:trPr>
        <w:tc>
          <w:tcPr>
            <w:tcW w:w="2430" w:type="dxa"/>
            <w:tcBorders>
              <w:top w:val="single" w:sz="6" w:space="0" w:color="000000"/>
              <w:start w:val="single" w:sz="6" w:space="0" w:color="000000"/>
            </w:tcBorders>
          </w:tcPr>
          <w:p>
            <w:pPr>
              <w:pStyle w:val="Normal"/>
              <w:widowControl/>
              <w:rPr>
                <w:b/>
              </w:rPr>
            </w:pPr>
            <w:r>
              <w:rPr>
                <w:b/>
              </w:rPr>
              <w:t>Shareholders’ Agreement:  Board Seats:</w:t>
            </w:r>
          </w:p>
        </w:tc>
        <w:tc>
          <w:tcPr>
            <w:tcW w:w="6930" w:type="dxa"/>
            <w:tcBorders>
              <w:top w:val="single" w:sz="6" w:space="0" w:color="000000"/>
              <w:start w:val="single" w:sz="6" w:space="0" w:color="000000"/>
              <w:end w:val="single" w:sz="6" w:space="0" w:color="000000"/>
            </w:tcBorders>
          </w:tcPr>
          <w:p>
            <w:pPr>
              <w:pStyle w:val="Normal"/>
              <w:widowControl/>
              <w:rPr/>
            </w:pPr>
            <w:r>
              <w:rPr/>
              <w:t>Eagle will be entitled to board seats proportionate to its interest.</w:t>
            </w:r>
          </w:p>
        </w:tc>
      </w:tr>
      <w:tr>
        <w:trPr>
          <w:trHeight w:val="403" w:hRule="atLeast"/>
        </w:trPr>
        <w:tc>
          <w:tcPr>
            <w:tcW w:w="2430" w:type="dxa"/>
            <w:tcBorders>
              <w:top w:val="single" w:sz="6" w:space="0" w:color="000000"/>
              <w:start w:val="single" w:sz="6" w:space="0" w:color="000000"/>
            </w:tcBorders>
          </w:tcPr>
          <w:p>
            <w:pPr>
              <w:pStyle w:val="Normal"/>
              <w:widowControl/>
              <w:rPr>
                <w:b/>
              </w:rPr>
            </w:pPr>
            <w:r>
              <w:rPr>
                <w:b/>
              </w:rPr>
              <w:t>Shareholders’ Agreement:  Veto Rights</w:t>
            </w:r>
          </w:p>
        </w:tc>
        <w:tc>
          <w:tcPr>
            <w:tcW w:w="6930" w:type="dxa"/>
            <w:tcBorders>
              <w:top w:val="single" w:sz="6" w:space="0" w:color="000000"/>
              <w:start w:val="single" w:sz="6" w:space="0" w:color="000000"/>
              <w:end w:val="single" w:sz="6" w:space="0" w:color="000000"/>
            </w:tcBorders>
          </w:tcPr>
          <w:p>
            <w:pPr>
              <w:pStyle w:val="Normal"/>
              <w:widowControl/>
              <w:rPr/>
            </w:pPr>
            <w:r>
              <w:rPr/>
              <w:t>Provided that Eagle owns at least 10% of fully diluted EI stock, Eagle shall have veto rights over the following:</w:t>
            </w:r>
          </w:p>
          <w:p>
            <w:pPr>
              <w:pStyle w:val="Normal"/>
              <w:widowControl/>
              <w:rPr/>
            </w:pPr>
            <w:r>
              <w:rPr/>
            </w:r>
          </w:p>
          <w:p>
            <w:pPr>
              <w:pStyle w:val="Normal"/>
              <w:widowControl/>
              <w:tabs>
                <w:tab w:val="left" w:pos="720" w:leader="none"/>
                <w:tab w:val="left" w:pos="1440" w:leader="none"/>
                <w:tab w:val="left" w:pos="2160" w:leader="none"/>
                <w:tab w:val="left" w:pos="2880" w:leader="none"/>
              </w:tabs>
              <w:rPr/>
            </w:pPr>
            <w:r>
              <w:rPr/>
              <w:t>•</w:t>
            </w:r>
            <w:r>
              <w:rPr/>
              <w:tab/>
              <w:t xml:space="preserve">Affiliate transactions individually in excess of $10 million and collectively in excess of  $50  million; and </w:t>
            </w:r>
          </w:p>
          <w:p>
            <w:pPr>
              <w:pStyle w:val="Normal"/>
              <w:widowControl/>
              <w:tabs>
                <w:tab w:val="left" w:pos="720" w:leader="none"/>
                <w:tab w:val="left" w:pos="1440" w:leader="none"/>
                <w:tab w:val="left" w:pos="2160" w:leader="none"/>
                <w:tab w:val="left" w:pos="2880" w:leader="none"/>
              </w:tabs>
              <w:rPr/>
            </w:pPr>
            <w:r>
              <w:rPr/>
            </w:r>
          </w:p>
          <w:p>
            <w:pPr>
              <w:pStyle w:val="Normal"/>
              <w:widowControl/>
              <w:tabs>
                <w:tab w:val="left" w:pos="720" w:leader="none"/>
                <w:tab w:val="left" w:pos="1440" w:leader="none"/>
                <w:tab w:val="left" w:pos="2160" w:leader="none"/>
                <w:tab w:val="left" w:pos="2880" w:leader="none"/>
              </w:tabs>
              <w:rPr/>
            </w:pPr>
            <w:r>
              <w:rPr/>
              <w:t>•</w:t>
            </w:r>
            <w:r>
              <w:rPr/>
              <w:tab/>
              <w:t>filing for bankruptcy.</w:t>
            </w:r>
          </w:p>
          <w:p>
            <w:pPr>
              <w:pStyle w:val="Normal"/>
              <w:widowControl/>
              <w:tabs>
                <w:tab w:val="left" w:pos="720" w:leader="none"/>
                <w:tab w:val="left" w:pos="1440" w:leader="none"/>
                <w:tab w:val="left" w:pos="2160" w:leader="none"/>
                <w:tab w:val="left" w:pos="2880" w:leader="none"/>
              </w:tabs>
              <w:rPr/>
            </w:pPr>
            <w:r>
              <w:rPr/>
            </w:r>
          </w:p>
          <w:p>
            <w:pPr>
              <w:pStyle w:val="Normal"/>
              <w:widowControl/>
              <w:tabs>
                <w:tab w:val="left" w:pos="720" w:leader="none"/>
                <w:tab w:val="left" w:pos="1440" w:leader="none"/>
                <w:tab w:val="left" w:pos="2160" w:leader="none"/>
                <w:tab w:val="left" w:pos="2880" w:leader="none"/>
              </w:tabs>
              <w:rPr/>
            </w:pPr>
            <w:r>
              <w:rPr/>
              <w:t>[These items are under consideration by Mint]</w:t>
            </w:r>
          </w:p>
          <w:p>
            <w:pPr>
              <w:pStyle w:val="Normal"/>
              <w:widowControl/>
              <w:tabs>
                <w:tab w:val="left" w:pos="720" w:leader="none"/>
                <w:tab w:val="left" w:pos="1440" w:leader="none"/>
                <w:tab w:val="left" w:pos="2160" w:leader="none"/>
                <w:tab w:val="left" w:pos="2880" w:leader="none"/>
              </w:tabs>
              <w:rPr/>
            </w:pPr>
            <w:r>
              <w:rPr/>
            </w:r>
          </w:p>
          <w:p>
            <w:pPr>
              <w:pStyle w:val="Normal"/>
              <w:widowControl/>
              <w:tabs>
                <w:tab w:val="left" w:pos="720" w:leader="none"/>
                <w:tab w:val="left" w:pos="1440" w:leader="none"/>
                <w:tab w:val="left" w:pos="2160" w:leader="none"/>
                <w:tab w:val="left" w:pos="2880" w:leader="none"/>
              </w:tabs>
              <w:rPr/>
            </w:pPr>
            <w:r>
              <w:rPr/>
              <w:t>Eagle will be under no future obligation to fund additional capital contributions to EI.</w:t>
            </w:r>
          </w:p>
        </w:tc>
      </w:tr>
      <w:tr>
        <w:trPr>
          <w:trHeight w:val="403" w:hRule="atLeast"/>
        </w:trPr>
        <w:tc>
          <w:tcPr>
            <w:tcW w:w="2430" w:type="dxa"/>
            <w:tcBorders>
              <w:top w:val="single" w:sz="6" w:space="0" w:color="000000"/>
              <w:start w:val="single" w:sz="6" w:space="0" w:color="000000"/>
            </w:tcBorders>
          </w:tcPr>
          <w:p>
            <w:pPr>
              <w:pStyle w:val="Normal"/>
              <w:widowControl/>
              <w:rPr>
                <w:b/>
              </w:rPr>
            </w:pPr>
            <w:r>
              <w:rPr>
                <w:b/>
              </w:rPr>
              <w:t>Shareholders’ Agreement:  Preemptive Rights:</w:t>
            </w:r>
          </w:p>
        </w:tc>
        <w:tc>
          <w:tcPr>
            <w:tcW w:w="6930" w:type="dxa"/>
            <w:tcBorders>
              <w:top w:val="single" w:sz="6" w:space="0" w:color="000000"/>
              <w:start w:val="single" w:sz="6" w:space="0" w:color="000000"/>
              <w:end w:val="single" w:sz="6" w:space="0" w:color="000000"/>
            </w:tcBorders>
          </w:tcPr>
          <w:p>
            <w:pPr>
              <w:pStyle w:val="Normal"/>
              <w:widowControl/>
              <w:rPr/>
            </w:pPr>
            <w:r>
              <w:rPr/>
              <w:t xml:space="preserve">Eagle shall have preemptive rights with respect to additional issuances of EI stock other than for employee plans. </w:t>
            </w:r>
          </w:p>
        </w:tc>
      </w:tr>
      <w:tr>
        <w:trPr>
          <w:trHeight w:val="403" w:hRule="atLeast"/>
        </w:trPr>
        <w:tc>
          <w:tcPr>
            <w:tcW w:w="2430" w:type="dxa"/>
            <w:tcBorders>
              <w:top w:val="single" w:sz="6" w:space="0" w:color="000000"/>
              <w:start w:val="single" w:sz="6" w:space="0" w:color="000000"/>
            </w:tcBorders>
          </w:tcPr>
          <w:p>
            <w:pPr>
              <w:pStyle w:val="Normal"/>
              <w:widowControl/>
              <w:rPr>
                <w:b/>
              </w:rPr>
            </w:pPr>
            <w:r>
              <w:rPr>
                <w:b/>
              </w:rPr>
              <w:t xml:space="preserve">Shareholders’ Agreement:  Exit Mechanics: </w:t>
            </w:r>
          </w:p>
        </w:tc>
        <w:tc>
          <w:tcPr>
            <w:tcW w:w="6930" w:type="dxa"/>
            <w:tcBorders>
              <w:top w:val="single" w:sz="6" w:space="0" w:color="000000"/>
              <w:start w:val="single" w:sz="6" w:space="0" w:color="000000"/>
              <w:end w:val="single" w:sz="6" w:space="0" w:color="000000"/>
            </w:tcBorders>
          </w:tcPr>
          <w:p>
            <w:pPr>
              <w:pStyle w:val="Normal"/>
              <w:widowControl/>
              <w:rPr/>
            </w:pPr>
            <w:r>
              <w:rPr/>
              <w:t>Subject to a mutually agreed hold requirement, Eagle will be entitled to the following exit mechanisms:</w:t>
            </w:r>
          </w:p>
          <w:p>
            <w:pPr>
              <w:pStyle w:val="Normal"/>
              <w:widowControl/>
              <w:rPr/>
            </w:pPr>
            <w:r>
              <w:rPr/>
            </w:r>
          </w:p>
          <w:p>
            <w:pPr>
              <w:pStyle w:val="Normal"/>
              <w:widowControl/>
              <w:tabs>
                <w:tab w:val="left" w:pos="720" w:leader="none"/>
                <w:tab w:val="left" w:pos="1440" w:leader="none"/>
                <w:tab w:val="left" w:pos="2160" w:leader="none"/>
                <w:tab w:val="left" w:pos="2880" w:leader="none"/>
              </w:tabs>
              <w:rPr/>
            </w:pPr>
            <w:r>
              <w:rPr/>
              <w:t>•</w:t>
            </w:r>
            <w:r>
              <w:rPr/>
              <w:tab/>
              <w:t>following the consummation of an initial public offering, demand registrations to be agreed and unlimited piggy back registrations;</w:t>
            </w:r>
          </w:p>
          <w:p>
            <w:pPr>
              <w:pStyle w:val="Normal"/>
              <w:widowControl/>
              <w:tabs>
                <w:tab w:val="left" w:pos="720" w:leader="none"/>
                <w:tab w:val="left" w:pos="1440" w:leader="none"/>
                <w:tab w:val="left" w:pos="2160" w:leader="none"/>
                <w:tab w:val="left" w:pos="2880" w:leader="none"/>
              </w:tabs>
              <w:rPr/>
            </w:pPr>
            <w:r>
              <w:rPr/>
            </w:r>
          </w:p>
          <w:p>
            <w:pPr>
              <w:pStyle w:val="Normal"/>
              <w:widowControl/>
              <w:tabs>
                <w:tab w:val="left" w:pos="720" w:leader="none"/>
                <w:tab w:val="left" w:pos="1440" w:leader="none"/>
                <w:tab w:val="left" w:pos="2160" w:leader="none"/>
                <w:tab w:val="left" w:pos="2880" w:leader="none"/>
              </w:tabs>
              <w:rPr/>
            </w:pPr>
            <w:r>
              <w:rPr/>
              <w:t>•</w:t>
            </w:r>
            <w:r>
              <w:rPr/>
              <w:tab/>
              <w:t>tag along/drag along rights; and</w:t>
            </w:r>
          </w:p>
          <w:p>
            <w:pPr>
              <w:pStyle w:val="Normal"/>
              <w:widowControl/>
              <w:tabs>
                <w:tab w:val="left" w:pos="720" w:leader="none"/>
                <w:tab w:val="left" w:pos="1440" w:leader="none"/>
                <w:tab w:val="left" w:pos="2160" w:leader="none"/>
                <w:tab w:val="left" w:pos="2880" w:leader="none"/>
              </w:tabs>
              <w:rPr/>
            </w:pPr>
            <w:r>
              <w:rPr/>
            </w:r>
          </w:p>
          <w:p>
            <w:pPr>
              <w:pStyle w:val="Normal"/>
              <w:widowControl/>
              <w:tabs>
                <w:tab w:val="left" w:pos="720" w:leader="none"/>
                <w:tab w:val="left" w:pos="1440" w:leader="none"/>
                <w:tab w:val="left" w:pos="2160" w:leader="none"/>
                <w:tab w:val="left" w:pos="2880" w:leader="none"/>
              </w:tabs>
              <w:rPr/>
            </w:pPr>
            <w:r>
              <w:rPr/>
              <w:t>•</w:t>
            </w:r>
            <w:r>
              <w:rPr/>
              <w:tab/>
              <w:t>the right to sell its ownership interest to third parties subject only to a [first offer] [first refusal] to EI.</w:t>
            </w:r>
          </w:p>
          <w:p>
            <w:pPr>
              <w:pStyle w:val="Normal"/>
              <w:widowControl/>
              <w:tabs>
                <w:tab w:val="left" w:pos="720" w:leader="none"/>
                <w:tab w:val="left" w:pos="1440" w:leader="none"/>
                <w:tab w:val="left" w:pos="2160" w:leader="none"/>
                <w:tab w:val="left" w:pos="2880" w:leader="none"/>
              </w:tabs>
              <w:rPr/>
            </w:pPr>
            <w:r>
              <w:rPr/>
            </w:r>
          </w:p>
          <w:p>
            <w:pPr>
              <w:pStyle w:val="Normal"/>
              <w:widowControl/>
              <w:tabs>
                <w:tab w:val="left" w:pos="720" w:leader="none"/>
                <w:tab w:val="left" w:pos="1440" w:leader="none"/>
                <w:tab w:val="left" w:pos="2160" w:leader="none"/>
                <w:tab w:val="left" w:pos="2880" w:leader="none"/>
              </w:tabs>
              <w:rPr/>
            </w:pPr>
            <w:r>
              <w:rPr/>
              <w:t>Eagle expressed its need for a mechanism to provide liquidity for its investment if a public offering providing sufficient liquidity has not occurred within a given time frame.  This item will continue to be discussed.</w:t>
            </w:r>
          </w:p>
        </w:tc>
      </w:tr>
      <w:tr>
        <w:trPr>
          <w:trHeight w:val="403" w:hRule="atLeast"/>
        </w:trPr>
        <w:tc>
          <w:tcPr>
            <w:tcW w:w="2430" w:type="dxa"/>
            <w:tcBorders>
              <w:top w:val="single" w:sz="6" w:space="0" w:color="000000"/>
              <w:start w:val="single" w:sz="6" w:space="0" w:color="000000"/>
            </w:tcBorders>
          </w:tcPr>
          <w:p>
            <w:pPr>
              <w:pStyle w:val="Normal"/>
              <w:widowControl/>
              <w:rPr>
                <w:b/>
              </w:rPr>
            </w:pPr>
            <w:r>
              <w:rPr>
                <w:b/>
              </w:rPr>
              <w:t>Shareholders’ Agreement: EE&amp;CC Preferred Provider Status:</w:t>
            </w:r>
          </w:p>
        </w:tc>
        <w:tc>
          <w:tcPr>
            <w:tcW w:w="6930" w:type="dxa"/>
            <w:tcBorders>
              <w:top w:val="single" w:sz="6" w:space="0" w:color="000000"/>
              <w:start w:val="single" w:sz="6" w:space="0" w:color="000000"/>
              <w:end w:val="single" w:sz="6" w:space="0" w:color="000000"/>
            </w:tcBorders>
          </w:tcPr>
          <w:p>
            <w:pPr>
              <w:pStyle w:val="Normal"/>
              <w:widowControl/>
              <w:rPr/>
            </w:pPr>
            <w:r>
              <w:rPr/>
              <w:t>Eagle shall use EE&amp;CC as its preferred provider for a period of _______ following Transaction close. The terms and conditions of the arrangement will be market-based.</w:t>
            </w:r>
            <w:bookmarkStart w:id="0" w:name="BM_1_"/>
            <w:bookmarkEnd w:id="0"/>
          </w:p>
        </w:tc>
      </w:tr>
      <w:tr>
        <w:trPr>
          <w:trHeight w:val="403" w:hRule="atLeast"/>
        </w:trPr>
        <w:tc>
          <w:tcPr>
            <w:tcW w:w="2430" w:type="dxa"/>
            <w:tcBorders>
              <w:top w:val="single" w:sz="6" w:space="0" w:color="000000"/>
              <w:start w:val="single" w:sz="6" w:space="0" w:color="000000"/>
            </w:tcBorders>
          </w:tcPr>
          <w:p>
            <w:pPr>
              <w:pStyle w:val="Normal"/>
              <w:widowControl/>
              <w:rPr>
                <w:b/>
              </w:rPr>
            </w:pPr>
            <w:r>
              <w:rPr>
                <w:b/>
              </w:rPr>
              <w:t>Transition Services Contract:</w:t>
            </w:r>
          </w:p>
        </w:tc>
        <w:tc>
          <w:tcPr>
            <w:tcW w:w="6930" w:type="dxa"/>
            <w:tcBorders>
              <w:top w:val="single" w:sz="6" w:space="0" w:color="000000"/>
              <w:start w:val="single" w:sz="6" w:space="0" w:color="000000"/>
              <w:end w:val="single" w:sz="6" w:space="0" w:color="000000"/>
            </w:tcBorders>
          </w:tcPr>
          <w:p>
            <w:pPr>
              <w:pStyle w:val="Normal"/>
              <w:widowControl/>
              <w:rPr/>
            </w:pPr>
            <w:r>
              <w:rPr/>
              <w:t>Eagle and EI shall enter into a Transition Services Contract with a term of 2 years. The contract shall cover services such as human resources, accounting, payroll, benefits, information services and office space. Under the contract, Eagle shall be paid on a reimbursable cost basis.  EI’s ability to renew this arrangement will be discussed.</w:t>
            </w:r>
          </w:p>
        </w:tc>
      </w:tr>
      <w:tr>
        <w:trPr>
          <w:trHeight w:val="403" w:hRule="atLeast"/>
        </w:trPr>
        <w:tc>
          <w:tcPr>
            <w:tcW w:w="2430" w:type="dxa"/>
            <w:tcBorders>
              <w:top w:val="single" w:sz="6" w:space="0" w:color="000000"/>
              <w:start w:val="single" w:sz="6" w:space="0" w:color="000000"/>
              <w:bottom w:val="single" w:sz="6" w:space="0" w:color="000000"/>
            </w:tcBorders>
          </w:tcPr>
          <w:p>
            <w:pPr>
              <w:pStyle w:val="Normal"/>
              <w:widowControl/>
              <w:rPr>
                <w:b/>
              </w:rPr>
            </w:pPr>
            <w:r>
              <w:rPr>
                <w:b/>
              </w:rPr>
              <w:t>Continuing Insurance; Severance</w:t>
            </w:r>
          </w:p>
        </w:tc>
        <w:tc>
          <w:tcPr>
            <w:tcW w:w="6930" w:type="dxa"/>
            <w:tcBorders>
              <w:top w:val="single" w:sz="6" w:space="0" w:color="000000"/>
              <w:start w:val="single" w:sz="6" w:space="0" w:color="000000"/>
              <w:bottom w:val="single" w:sz="6" w:space="0" w:color="000000"/>
              <w:end w:val="single" w:sz="6" w:space="0" w:color="000000"/>
            </w:tcBorders>
          </w:tcPr>
          <w:p>
            <w:pPr>
              <w:pStyle w:val="Normal"/>
              <w:widowControl/>
              <w:rPr/>
            </w:pPr>
            <w:r>
              <w:rPr/>
              <w:t>Eagle will not be required to provide or to pay for continuing insurance. Mechanics for handling employee benefits to be agreed upon.</w:t>
            </w:r>
          </w:p>
        </w:tc>
      </w:tr>
    </w:tbl>
    <w:p>
      <w:pPr>
        <w:pStyle w:val="Normal"/>
        <w:rPr/>
      </w:pPr>
      <w:r>
        <w:rPr/>
      </w:r>
    </w:p>
    <w:sectPr>
      <w:type w:val="continuous"/>
      <w:pgSz w:w="12240" w:h="15840"/>
      <w:pgMar w:left="1440" w:right="1440" w:gutter="0" w:header="0" w:top="1440" w:footer="0"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2880"/>
        </w:tabs>
        <w:ind w:start="2880" w:hanging="2880"/>
      </w:pPr>
    </w:lvl>
    <w:lvl w:ilvl="1">
      <w:start w:val="1"/>
      <w:numFmt w:val="none"/>
      <w:suff w:val="nothing"/>
      <w:lvlText w:val="•"/>
      <w:lvlJc w:val="start"/>
      <w:pPr>
        <w:tabs>
          <w:tab w:val="num" w:pos="2880"/>
        </w:tabs>
        <w:ind w:start="5760" w:hanging="2880"/>
      </w:pPr>
    </w:lvl>
    <w:lvl w:ilvl="2">
      <w:start w:val="1"/>
      <w:numFmt w:val="none"/>
      <w:suff w:val="nothing"/>
      <w:lvlText w:val="•"/>
      <w:lvlJc w:val="start"/>
      <w:pPr>
        <w:tabs>
          <w:tab w:val="num" w:pos="2880"/>
        </w:tabs>
        <w:ind w:start="8640" w:hanging="2880"/>
      </w:pPr>
    </w:lvl>
    <w:lvl w:ilvl="3">
      <w:start w:val="1"/>
      <w:numFmt w:val="none"/>
      <w:suff w:val="nothing"/>
      <w:lvlText w:val="•"/>
      <w:lvlJc w:val="start"/>
      <w:pPr>
        <w:tabs>
          <w:tab w:val="num" w:pos="2880"/>
        </w:tabs>
        <w:ind w:start="11520" w:hanging="2880"/>
      </w:pPr>
    </w:lvl>
    <w:lvl w:ilvl="4">
      <w:start w:val="1"/>
      <w:numFmt w:val="none"/>
      <w:suff w:val="nothing"/>
      <w:lvlText w:val="•"/>
      <w:lvlJc w:val="start"/>
      <w:pPr>
        <w:tabs>
          <w:tab w:val="num" w:pos="2880"/>
        </w:tabs>
        <w:ind w:start="14400" w:hanging="2880"/>
      </w:pPr>
    </w:lvl>
    <w:lvl w:ilvl="5">
      <w:start w:val="1"/>
      <w:numFmt w:val="none"/>
      <w:suff w:val="nothing"/>
      <w:lvlText w:val="•"/>
      <w:lvlJc w:val="start"/>
      <w:pPr>
        <w:tabs>
          <w:tab w:val="num" w:pos="2880"/>
        </w:tabs>
        <w:ind w:start="17280" w:hanging="2880"/>
      </w:pPr>
    </w:lvl>
    <w:lvl w:ilvl="6">
      <w:start w:val="1"/>
      <w:numFmt w:val="none"/>
      <w:suff w:val="nothing"/>
      <w:lvlText w:val="•"/>
      <w:lvlJc w:val="start"/>
      <w:pPr>
        <w:tabs>
          <w:tab w:val="num" w:pos="2880"/>
        </w:tabs>
        <w:ind w:start="20160" w:hanging="2880"/>
      </w:pPr>
    </w:lvl>
    <w:lvl w:ilvl="7">
      <w:start w:val="1"/>
      <w:numFmt w:val="none"/>
      <w:suff w:val="nothing"/>
      <w:lvlText w:val="•"/>
      <w:lvlJc w:val="start"/>
      <w:pPr>
        <w:tabs>
          <w:tab w:val="num" w:pos="2880"/>
        </w:tabs>
        <w:ind w:start="23040" w:hanging="2880"/>
      </w:pPr>
    </w:lvl>
    <w:lvl w:ilvl="8">
      <w:start w:val="1"/>
      <w:numFmt w:val="lowerRoman"/>
      <w:lvlText w:val="%9"/>
      <w:lvlJc w:val="start"/>
      <w:pPr>
        <w:tabs>
          <w:tab w:val="num" w:pos="2880"/>
        </w:tabs>
        <w:ind w:start="25920" w:hanging="28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BulletList">
    <w:name w:val="1Bullet List"/>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eastAsia="en-US" w:bidi="hi-IN"/>
    </w:rPr>
  </w:style>
  <w:style w:type="paragraph" w:styleId="2BulletList">
    <w:name w:val="2Bullet List"/>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0"/>
      <w:lang w:val="en-US" w:eastAsia="en-US" w:bidi="hi-IN"/>
    </w:rPr>
  </w:style>
  <w:style w:type="paragraph" w:styleId="3BulletList">
    <w:name w:val="3Bullet List"/>
    <w:qFormat/>
    <w:pPr>
      <w:widowControl w:val="false"/>
      <w:tabs>
        <w:tab w:val="left" w:pos="720" w:leader="none"/>
        <w:tab w:val="left" w:pos="1440" w:leader="none"/>
        <w:tab w:val="left" w:pos="2160" w:leader="none"/>
      </w:tabs>
      <w:bidi w:val="0"/>
      <w:ind w:hanging="720" w:start="2160" w:end="0"/>
      <w:jc w:val="both"/>
    </w:pPr>
    <w:rPr>
      <w:rFonts w:ascii="Times New Roman" w:hAnsi="Times New Roman" w:eastAsia="Times New Roman" w:cs="Times New Roman"/>
      <w:color w:val="auto"/>
      <w:sz w:val="24"/>
      <w:szCs w:val="20"/>
      <w:lang w:val="en-US" w:eastAsia="en-US" w:bidi="hi-IN"/>
    </w:rPr>
  </w:style>
  <w:style w:type="paragraph" w:styleId="4BulletList">
    <w:name w:val="4Bullet List"/>
    <w:qFormat/>
    <w:pPr>
      <w:widowControl w:val="false"/>
      <w:tabs>
        <w:tab w:val="left" w:pos="720" w:leader="none"/>
        <w:tab w:val="left" w:pos="1440" w:leader="none"/>
        <w:tab w:val="left" w:pos="2160" w:leader="none"/>
        <w:tab w:val="left" w:pos="2880" w:leader="none"/>
      </w:tabs>
      <w:bidi w:val="0"/>
      <w:ind w:hanging="720" w:start="2880" w:end="0"/>
      <w:jc w:val="both"/>
    </w:pPr>
    <w:rPr>
      <w:rFonts w:ascii="Times New Roman" w:hAnsi="Times New Roman" w:eastAsia="Times New Roman" w:cs="Times New Roman"/>
      <w:color w:val="auto"/>
      <w:sz w:val="24"/>
      <w:szCs w:val="20"/>
      <w:lang w:val="en-US" w:eastAsia="en-US" w:bidi="hi-IN"/>
    </w:rPr>
  </w:style>
  <w:style w:type="paragraph" w:styleId="5BulletList">
    <w:name w:val="5Bullet List"/>
    <w:qFormat/>
    <w:pPr>
      <w:widowControl w:val="false"/>
      <w:tabs>
        <w:tab w:val="left" w:pos="720" w:leader="none"/>
        <w:tab w:val="left" w:pos="1440" w:leader="none"/>
        <w:tab w:val="left" w:pos="2160" w:leader="none"/>
        <w:tab w:val="left" w:pos="2880" w:leader="none"/>
        <w:tab w:val="left" w:pos="3600" w:leader="none"/>
      </w:tabs>
      <w:bidi w:val="0"/>
      <w:ind w:hanging="720" w:start="3600" w:end="0"/>
      <w:jc w:val="both"/>
    </w:pPr>
    <w:rPr>
      <w:rFonts w:ascii="Times New Roman" w:hAnsi="Times New Roman" w:eastAsia="Times New Roman" w:cs="Times New Roman"/>
      <w:color w:val="auto"/>
      <w:sz w:val="24"/>
      <w:szCs w:val="20"/>
      <w:lang w:val="en-US" w:eastAsia="en-US" w:bidi="hi-IN"/>
    </w:rPr>
  </w:style>
  <w:style w:type="paragraph" w:styleId="6BulletList">
    <w:name w:val="6Bullet List"/>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end="0"/>
      <w:jc w:val="both"/>
    </w:pPr>
    <w:rPr>
      <w:rFonts w:ascii="Times New Roman" w:hAnsi="Times New Roman" w:eastAsia="Times New Roman" w:cs="Times New Roman"/>
      <w:color w:val="auto"/>
      <w:sz w:val="24"/>
      <w:szCs w:val="20"/>
      <w:lang w:val="en-US" w:eastAsia="en-US" w:bidi="hi-IN"/>
    </w:rPr>
  </w:style>
  <w:style w:type="paragraph" w:styleId="7BulletList">
    <w:name w:val="7Bullet Lis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end="0"/>
      <w:jc w:val="both"/>
    </w:pPr>
    <w:rPr>
      <w:rFonts w:ascii="Times New Roman" w:hAnsi="Times New Roman" w:eastAsia="Times New Roman" w:cs="Times New Roman"/>
      <w:color w:val="auto"/>
      <w:sz w:val="24"/>
      <w:szCs w:val="20"/>
      <w:lang w:val="en-US" w:eastAsia="en-US" w:bidi="hi-IN"/>
    </w:rPr>
  </w:style>
  <w:style w:type="paragraph" w:styleId="8BulletList">
    <w:name w:val="8Bullet Lis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end="0"/>
      <w:jc w:val="both"/>
    </w:pPr>
    <w:rPr>
      <w:rFonts w:ascii="Times New Roman" w:hAnsi="Times New Roman" w:eastAsia="Times New Roman" w:cs="Times New Roman"/>
      <w:color w:val="auto"/>
      <w:sz w:val="24"/>
      <w:szCs w:val="20"/>
      <w:lang w:val="en-US"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2000-06-30T17:56:00Z</dcterms:created>
  <dc:creator>mmetts</dc:creator>
  <dc:description/>
  <dc:language>en-CA</dc:language>
  <cp:lastModifiedBy>mmetts</cp:lastModifiedBy>
  <dcterms:modified xsi:type="dcterms:W3CDTF">2000-06-30T17:56:00Z</dcterms:modified>
  <cp:revision>2</cp:revision>
  <dc:subject/>
  <dc:title>Confidential</dc:title>
</cp:coreProperties>
</file>