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b/>
        </w:rPr>
      </w:pPr>
      <w:r>
        <w:rPr>
          <w:b/>
        </w:rPr>
        <w:t>Draft Questions and Answers</w:t>
      </w:r>
    </w:p>
    <w:p>
      <w:pPr>
        <w:pStyle w:val="Heading4"/>
        <w:ind w:hanging="0" w:start="0"/>
        <w:rPr>
          <w:b w:val="false"/>
          <w:sz w:val="28"/>
        </w:rPr>
      </w:pPr>
      <w:r>
        <w:rPr>
          <w:b w:val="false"/>
          <w:sz w:val="28"/>
        </w:rPr>
      </w:r>
    </w:p>
    <w:p>
      <w:pPr>
        <w:pStyle w:val="Heading4"/>
        <w:ind w:hanging="0" w:start="0"/>
        <w:rPr>
          <w:sz w:val="28"/>
          <w:u w:val="single"/>
        </w:rPr>
      </w:pPr>
      <w:r>
        <w:rPr>
          <w:sz w:val="28"/>
          <w:u w:val="single"/>
        </w:rPr>
      </w:r>
    </w:p>
    <w:p>
      <w:pPr>
        <w:pStyle w:val="Heading4"/>
        <w:ind w:hanging="0" w:start="0"/>
        <w:rPr>
          <w:sz w:val="28"/>
          <w:u w:val="single"/>
        </w:rPr>
      </w:pPr>
      <w:r>
        <w:rPr>
          <w:sz w:val="28"/>
          <w:u w:val="single"/>
        </w:rPr>
        <w:t>I</w:t>
        <w:tab/>
        <w:t>Response to Rumors</w:t>
      </w:r>
    </w:p>
    <w:p>
      <w:pPr>
        <w:pStyle w:val="Normal"/>
        <w:rPr>
          <w:rFonts w:ascii="Arial" w:hAnsi="Arial" w:cs="Arial"/>
          <w:sz w:val="28"/>
          <w:u w:val="single"/>
        </w:rPr>
      </w:pPr>
      <w:r>
        <w:rPr>
          <w:rFonts w:cs="Arial" w:ascii="Arial" w:hAnsi="Arial"/>
          <w:sz w:val="28"/>
          <w:u w:val="single"/>
        </w:rPr>
      </w:r>
    </w:p>
    <w:p>
      <w:pPr>
        <w:pStyle w:val="Heading3"/>
        <w:ind w:hanging="720" w:start="720" w:end="0"/>
        <w:rPr/>
      </w:pPr>
      <w:r>
        <w:rPr/>
        <w:t>Q1</w:t>
        <w:tab/>
        <w:t>We have heard that your premises were recently searched for records as part of some sort of investigation. Is this true?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A1</w:t>
        <w:tab/>
        <w:t>We make it a policy never to comment on rumours of any kind.</w:t>
      </w:r>
    </w:p>
    <w:p>
      <w:pPr>
        <w:pStyle w:val="Normal"/>
        <w:rPr>
          <w:rFonts w:ascii="Arial" w:hAnsi="Arial" w:cs="Arial"/>
          <w:sz w:val="24"/>
        </w:rPr>
      </w:pPr>
      <w:r>
        <w:rPr>
          <w:rFonts w:cs="Arial" w:ascii="Arial" w:hAnsi="Arial"/>
          <w:sz w:val="24"/>
        </w:rPr>
      </w:r>
    </w:p>
    <w:p>
      <w:pPr>
        <w:pStyle w:val="Heading3"/>
        <w:ind w:hanging="720" w:start="720" w:end="0"/>
        <w:rPr/>
      </w:pPr>
      <w:r>
        <w:rPr/>
        <w:t>Q2</w:t>
        <w:tab/>
        <w:t>That doesn’t sound like a flat denial. Are you denying outright that your premises were recently searched for records as part of some sort of investigation?</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A2</w:t>
        <w:tab/>
        <w:t>We make it a policy never to comment on rumours of any kind.</w:t>
      </w:r>
    </w:p>
    <w:p>
      <w:pPr>
        <w:pStyle w:val="Normal"/>
        <w:rPr>
          <w:rFonts w:ascii="Arial" w:hAnsi="Arial" w:cs="Arial"/>
          <w:sz w:val="24"/>
        </w:rPr>
      </w:pPr>
      <w:r>
        <w:rPr>
          <w:rFonts w:cs="Arial" w:ascii="Arial" w:hAnsi="Arial"/>
          <w:sz w:val="24"/>
        </w:rPr>
      </w:r>
    </w:p>
    <w:p>
      <w:pPr>
        <w:pStyle w:val="Heading3"/>
        <w:ind w:hanging="0" w:start="0"/>
        <w:rPr>
          <w:rFonts w:ascii="Arial" w:hAnsi="Arial" w:cs="Arial"/>
          <w:sz w:val="28"/>
          <w:u w:val="single"/>
        </w:rPr>
      </w:pPr>
      <w:r>
        <w:rPr>
          <w:rFonts w:cs="Arial"/>
          <w:sz w:val="28"/>
          <w:u w:val="single"/>
        </w:rPr>
      </w:r>
    </w:p>
    <w:p>
      <w:pPr>
        <w:pStyle w:val="Heading3"/>
        <w:ind w:hanging="0" w:start="0"/>
        <w:rPr>
          <w:sz w:val="28"/>
          <w:u w:val="single"/>
        </w:rPr>
      </w:pPr>
      <w:r>
        <w:rPr>
          <w:sz w:val="28"/>
          <w:u w:val="single"/>
        </w:rPr>
        <w:t>II</w:t>
        <w:tab/>
        <w:t>Basic Statement</w:t>
      </w:r>
    </w:p>
    <w:p>
      <w:pPr>
        <w:pStyle w:val="Heading3"/>
        <w:ind w:hanging="0" w:start="0"/>
        <w:rPr>
          <w:sz w:val="28"/>
          <w:u w:val="single"/>
        </w:rPr>
      </w:pPr>
      <w:r>
        <w:rPr>
          <w:sz w:val="28"/>
          <w:u w:val="single"/>
        </w:rPr>
      </w:r>
    </w:p>
    <w:p>
      <w:pPr>
        <w:pStyle w:val="Heading3"/>
        <w:ind w:hanging="720" w:start="720" w:end="0"/>
        <w:rPr/>
      </w:pPr>
      <w:r>
        <w:rPr/>
        <w:t>Q3</w:t>
        <w:tab/>
        <w:t xml:space="preserve">We have obtained court documents outlining the rationale for a search of your premises for records as part of an investigation into allegations of electricity market manipulation in Alberta by Stanley Canada Corp. Can you confirm that your offices were searched and documents seized? </w:t>
      </w:r>
    </w:p>
    <w:p>
      <w:pPr>
        <w:pStyle w:val="Normal"/>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A3</w:t>
        <w:tab/>
        <w:t>Stanley participates in regulated power markets around the world and devotes tremendous resources to ensure that our business practices comply with all applicable laws and regulations. At all times, Stanley operates within the rules of the Alberta Power Pool. We are cooperating with the investigation, and have no further comment at this time.</w:t>
      </w:r>
    </w:p>
    <w:p>
      <w:pPr>
        <w:pStyle w:val="Normal"/>
        <w:rPr>
          <w:rFonts w:ascii="Arial" w:hAnsi="Arial" w:cs="Arial"/>
          <w:sz w:val="24"/>
        </w:rPr>
      </w:pPr>
      <w:r>
        <w:rPr>
          <w:rFonts w:cs="Arial" w:ascii="Arial" w:hAnsi="Arial"/>
          <w:sz w:val="24"/>
        </w:rPr>
      </w:r>
    </w:p>
    <w:p>
      <w:pPr>
        <w:pStyle w:val="Heading3"/>
        <w:ind w:hanging="720" w:start="720" w:end="0"/>
        <w:rPr>
          <w:rFonts w:ascii="Arial" w:hAnsi="Arial" w:cs="Arial"/>
          <w:sz w:val="28"/>
          <w:u w:val="single"/>
        </w:rPr>
      </w:pPr>
      <w:r>
        <w:rPr>
          <w:rFonts w:cs="Arial"/>
          <w:sz w:val="28"/>
          <w:u w:val="single"/>
        </w:rPr>
      </w:r>
    </w:p>
    <w:p>
      <w:pPr>
        <w:pStyle w:val="Heading3"/>
        <w:ind w:hanging="720" w:start="720" w:end="0"/>
        <w:rPr>
          <w:sz w:val="28"/>
          <w:u w:val="single"/>
        </w:rPr>
      </w:pPr>
      <w:r>
        <w:rPr>
          <w:sz w:val="28"/>
          <w:u w:val="single"/>
        </w:rPr>
        <w:t>III</w:t>
        <w:tab/>
        <w:t>Specific to the Allegations</w:t>
      </w:r>
    </w:p>
    <w:p>
      <w:pPr>
        <w:pStyle w:val="Heading3"/>
        <w:ind w:hanging="720" w:start="720" w:end="0"/>
        <w:rPr>
          <w:sz w:val="28"/>
          <w:u w:val="single"/>
        </w:rPr>
      </w:pPr>
      <w:r>
        <w:rPr>
          <w:sz w:val="28"/>
          <w:u w:val="single"/>
        </w:rPr>
      </w:r>
    </w:p>
    <w:p>
      <w:pPr>
        <w:pStyle w:val="Heading3"/>
        <w:ind w:hanging="720" w:start="720" w:end="0"/>
        <w:rPr/>
      </w:pPr>
      <w:r>
        <w:rPr/>
        <w:t>Q4</w:t>
        <w:tab/>
        <w:t>The search warrant details allegations that you and X conspired to rig the supply and price of electricity into Alberta’s electricity market pool. What is your comment on this allegation?</w:t>
      </w:r>
    </w:p>
    <w:p>
      <w:pPr>
        <w:pStyle w:val="Normal"/>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A4</w:t>
        <w:tab/>
        <w:t>Stanley participates in regulated power markets around the world and devotes tremendous resources to ensure that our business practices comply with all applicable laws and regulations.  At all times, Stanley has operated and continues to operate within the rules of the Power Pool of Alberta and applicable Canadian competition law.  Stanley is cooperating with the investigation.</w:t>
      </w:r>
    </w:p>
    <w:p>
      <w:pPr>
        <w:pStyle w:val="Heading3"/>
        <w:ind w:hanging="720" w:start="720" w:end="0"/>
        <w:rPr>
          <w:rFonts w:ascii="Arial" w:hAnsi="Arial" w:cs="Arial"/>
          <w:sz w:val="24"/>
        </w:rPr>
      </w:pPr>
      <w:r>
        <w:rPr>
          <w:rFonts w:cs="Arial"/>
          <w:sz w:val="24"/>
        </w:rPr>
      </w:r>
    </w:p>
    <w:p>
      <w:pPr>
        <w:pStyle w:val="Heading3"/>
        <w:ind w:hanging="720" w:start="720" w:end="0"/>
        <w:rPr/>
      </w:pPr>
      <w:r>
        <w:rPr/>
        <w:t>Q5</w:t>
        <w:tab/>
        <w:t>The record of electricity trades between June 1 and October 19, 1999 shows a series of transactions by Stanley and X, involving the submission and withdrawal of electricity into and out of the pool, enabling Stanley to gain a higher price for its electricity. These transactions correspond so closely – in most cases by a matter of minutes -- that they cannot be co-incidence. Is this what you would have us believe?</w:t>
      </w:r>
    </w:p>
    <w:p>
      <w:pPr>
        <w:pStyle w:val="Normal"/>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A5</w:t>
        <w:tab/>
        <w:t>Stanley was offered power by X at a price lower than we believed we could sell it, and at all times these transactions were within the rules of the Alberta Power Pool and the applicable Canadian Competition laws.</w:t>
      </w:r>
    </w:p>
    <w:p>
      <w:pPr>
        <w:pStyle w:val="Normal"/>
        <w:rPr>
          <w:rFonts w:ascii="Arial" w:hAnsi="Arial" w:cs="Arial"/>
          <w:sz w:val="24"/>
        </w:rPr>
      </w:pPr>
      <w:r>
        <w:rPr>
          <w:rFonts w:cs="Arial" w:ascii="Arial" w:hAnsi="Arial"/>
          <w:sz w:val="24"/>
        </w:rPr>
      </w:r>
    </w:p>
    <w:p>
      <w:pPr>
        <w:pStyle w:val="Heading3"/>
        <w:ind w:hanging="720" w:start="720" w:end="0"/>
        <w:rPr/>
      </w:pPr>
      <w:r>
        <w:rPr/>
        <w:t>Q6</w:t>
        <w:tab/>
        <w:t>Who, specifically, conducted the transactions under investigation on Stanley’s behalf?</w:t>
      </w:r>
    </w:p>
    <w:p>
      <w:pPr>
        <w:pStyle w:val="Normal"/>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A6</w:t>
        <w:tab/>
        <w:t>This is a personnel issue and Stanley policy is that we do not discuss personnel issues publicly.</w:t>
      </w:r>
    </w:p>
    <w:p>
      <w:pPr>
        <w:pStyle w:val="Normal"/>
        <w:rPr>
          <w:rFonts w:ascii="Arial" w:hAnsi="Arial" w:cs="Arial"/>
          <w:sz w:val="24"/>
        </w:rPr>
      </w:pPr>
      <w:r>
        <w:rPr>
          <w:rFonts w:cs="Arial" w:ascii="Arial" w:hAnsi="Arial"/>
          <w:sz w:val="24"/>
        </w:rPr>
      </w:r>
    </w:p>
    <w:p>
      <w:pPr>
        <w:pStyle w:val="Heading3"/>
        <w:ind w:hanging="720" w:start="720" w:end="0"/>
        <w:rPr/>
      </w:pPr>
      <w:r>
        <w:rPr/>
        <w:t>Q7</w:t>
        <w:tab/>
        <w:t>Have you spoken to this individual(s) directly about these allegations?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A7</w:t>
        <w:tab/>
        <w:t>Yes.</w:t>
      </w:r>
    </w:p>
    <w:p>
      <w:pPr>
        <w:pStyle w:val="Normal"/>
        <w:rPr>
          <w:rFonts w:ascii="Arial" w:hAnsi="Arial" w:cs="Arial"/>
          <w:sz w:val="24"/>
        </w:rPr>
      </w:pPr>
      <w:r>
        <w:rPr>
          <w:rFonts w:cs="Arial" w:ascii="Arial" w:hAnsi="Arial"/>
          <w:sz w:val="24"/>
        </w:rPr>
      </w:r>
    </w:p>
    <w:p>
      <w:pPr>
        <w:pStyle w:val="Heading3"/>
        <w:ind w:hanging="720" w:start="720" w:end="0"/>
        <w:rPr/>
      </w:pPr>
      <w:r>
        <w:rPr/>
        <w:t>Q8</w:t>
        <w:tab/>
        <w:t>To whom does this individual(s) report? Do you expect us to believe that these transactions could have been carried out without someone else’s oversight or supervision at Stanley?</w:t>
      </w:r>
    </w:p>
    <w:p>
      <w:pPr>
        <w:pStyle w:val="Normal"/>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A8</w:t>
        <w:tab/>
        <w:t>Again, these are personnel issues and Stanley does not discuss them publicly.</w:t>
      </w:r>
    </w:p>
    <w:p>
      <w:pPr>
        <w:pStyle w:val="Normal"/>
        <w:rPr>
          <w:rFonts w:ascii="Arial" w:hAnsi="Arial" w:cs="Arial"/>
          <w:sz w:val="24"/>
        </w:rPr>
      </w:pPr>
      <w:r>
        <w:rPr>
          <w:rFonts w:cs="Arial" w:ascii="Arial" w:hAnsi="Arial"/>
          <w:sz w:val="24"/>
        </w:rPr>
      </w:r>
    </w:p>
    <w:p>
      <w:pPr>
        <w:pStyle w:val="Heading3"/>
        <w:ind w:hanging="0" w:start="0"/>
        <w:rPr/>
      </w:pPr>
      <w:r>
        <w:rPr/>
        <w:t>Q9</w:t>
        <w:tab/>
        <w:t>How are transactions of this kind monitored internally?</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A9</w:t>
        <w:tab/>
        <w:t>XX Perhaps best answered by someone else</w:t>
      </w:r>
    </w:p>
    <w:p>
      <w:pPr>
        <w:pStyle w:val="Normal"/>
        <w:rPr>
          <w:rFonts w:ascii="Arial" w:hAnsi="Arial" w:cs="Arial"/>
          <w:sz w:val="24"/>
        </w:rPr>
      </w:pPr>
      <w:r>
        <w:rPr>
          <w:rFonts w:cs="Arial" w:ascii="Arial" w:hAnsi="Arial"/>
          <w:sz w:val="24"/>
        </w:rPr>
      </w:r>
    </w:p>
    <w:p>
      <w:pPr>
        <w:pStyle w:val="BodyTextIndent"/>
        <w:rPr/>
      </w:pPr>
      <w:r>
        <w:rPr/>
        <w:t>Q10</w:t>
        <w:tab/>
        <w:t>What mechanisms are in place to alert others in the company to unusual trading patterns?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A10</w:t>
        <w:tab/>
        <w:t>XX Perhaps best answered by someone else</w:t>
      </w:r>
    </w:p>
    <w:p>
      <w:pPr>
        <w:pStyle w:val="Normal"/>
        <w:rPr>
          <w:rFonts w:ascii="Arial" w:hAnsi="Arial" w:cs="Arial"/>
          <w:sz w:val="24"/>
        </w:rPr>
      </w:pPr>
      <w:r>
        <w:rPr>
          <w:rFonts w:cs="Arial" w:ascii="Arial" w:hAnsi="Arial"/>
          <w:sz w:val="24"/>
        </w:rPr>
      </w:r>
    </w:p>
    <w:p>
      <w:pPr>
        <w:pStyle w:val="Heading3"/>
        <w:ind w:hanging="720" w:start="720" w:end="0"/>
        <w:rPr/>
      </w:pPr>
      <w:r>
        <w:rPr/>
        <w:t>Q11</w:t>
        <w:tab/>
        <w:t>Given the highly unusual nature of the transactions at issue, have you suspended this person pending the outcome of this investigation? If not, why not?</w:t>
      </w:r>
    </w:p>
    <w:p>
      <w:pPr>
        <w:pStyle w:val="Normal"/>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A11</w:t>
        <w:tab/>
        <w:t>Again, these are personnel issues and Stanley does not discuss them publicly.</w:t>
      </w:r>
    </w:p>
    <w:p>
      <w:pPr>
        <w:pStyle w:val="Normal"/>
        <w:rPr>
          <w:rFonts w:ascii="Arial" w:hAnsi="Arial" w:cs="Arial"/>
          <w:sz w:val="24"/>
        </w:rPr>
      </w:pPr>
      <w:r>
        <w:rPr>
          <w:rFonts w:cs="Arial" w:ascii="Arial" w:hAnsi="Arial"/>
          <w:sz w:val="24"/>
        </w:rPr>
      </w:r>
    </w:p>
    <w:p>
      <w:pPr>
        <w:pStyle w:val="Heading3"/>
        <w:ind w:hanging="720" w:start="720" w:end="0"/>
        <w:rPr/>
      </w:pPr>
      <w:r>
        <w:rPr/>
        <w:t xml:space="preserve">Q12 </w:t>
        <w:tab/>
        <w:t>What was the total dollar value of the electricity traded under these suspect transactions?</w:t>
      </w:r>
    </w:p>
    <w:p>
      <w:pPr>
        <w:pStyle w:val="Normal"/>
        <w:rPr>
          <w:rFonts w:ascii="Arial" w:hAnsi="Arial" w:cs="Arial"/>
          <w:sz w:val="24"/>
        </w:rPr>
      </w:pPr>
      <w:r>
        <w:rPr>
          <w:rFonts w:cs="Arial" w:ascii="Arial" w:hAnsi="Arial"/>
          <w:sz w:val="24"/>
        </w:rPr>
      </w:r>
    </w:p>
    <w:p>
      <w:pPr>
        <w:pStyle w:val="BodyTextIndent2"/>
        <w:ind w:hanging="720" w:start="720" w:end="0"/>
        <w:rPr/>
      </w:pPr>
      <w:r>
        <w:rPr/>
        <w:t>A12</w:t>
        <w:tab/>
        <w:t>While the prices during these periods of tight supply were higher than average, they did not have a significant impact on total rates. Prices in Alberta, in 1999, for example, averaged CDN$42.74/MWh, because prices were low during most of the year.</w:t>
      </w:r>
    </w:p>
    <w:p>
      <w:pPr>
        <w:pStyle w:val="Normal"/>
        <w:jc w:val="both"/>
        <w:rPr>
          <w:rFonts w:ascii="Arial" w:hAnsi="Arial" w:cs="Arial"/>
          <w:sz w:val="24"/>
        </w:rPr>
      </w:pPr>
      <w:r>
        <w:rPr>
          <w:rFonts w:cs="Arial" w:ascii="Arial" w:hAnsi="Arial"/>
          <w:sz w:val="24"/>
        </w:rPr>
      </w:r>
    </w:p>
    <w:p>
      <w:pPr>
        <w:pStyle w:val="Normal"/>
        <w:ind w:start="720" w:end="0"/>
        <w:jc w:val="both"/>
        <w:rPr/>
      </w:pPr>
      <w:r>
        <w:rPr>
          <w:rFonts w:cs="Arial" w:ascii="Arial" w:hAnsi="Arial"/>
          <w:sz w:val="24"/>
        </w:rPr>
        <w:t xml:space="preserve">Stanley’s sales at issue here cleared the market, at most, 22 hours during this period less than 1% of the total hours.  These sales were less than 0.01% of the total volume, less than 0.12% of the revenue, </w:t>
      </w:r>
      <w:r>
        <w:rPr>
          <w:rFonts w:cs="Arial" w:ascii="Arial" w:hAnsi="Arial"/>
          <w:sz w:val="24"/>
          <w:u w:val="single"/>
        </w:rPr>
        <w:t>and</w:t>
      </w:r>
      <w:r>
        <w:rPr>
          <w:rFonts w:cs="Arial" w:ascii="Arial" w:hAnsi="Arial"/>
          <w:sz w:val="24"/>
        </w:rPr>
        <w:t xml:space="preserve"> less than 8% of the total number of times the prices in the pool cleared above CDN$100/MWh.</w:t>
      </w:r>
    </w:p>
    <w:p>
      <w:pPr>
        <w:pStyle w:val="Normal"/>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t>Over the 22 hours where Stanley sold power purchased from X into the Pool, these sales accounted in the aggregate for 1.4% of the Pool volume in those hours.  Similarly, those sales earned 1.4% of the total Pool sales revenue in those hours.  The maximum share of hourly Pool volume or revenue represented by any one of the transactions was 3.1%.</w:t>
      </w:r>
    </w:p>
    <w:p>
      <w:pPr>
        <w:pStyle w:val="Normal"/>
        <w:rPr>
          <w:rFonts w:ascii="Arial" w:hAnsi="Arial" w:cs="Arial"/>
          <w:sz w:val="24"/>
        </w:rPr>
      </w:pPr>
      <w:r>
        <w:rPr>
          <w:rFonts w:cs="Arial" w:ascii="Arial" w:hAnsi="Arial"/>
          <w:sz w:val="24"/>
        </w:rPr>
      </w:r>
    </w:p>
    <w:p>
      <w:pPr>
        <w:pStyle w:val="Heading3"/>
        <w:ind w:hanging="720" w:start="720" w:end="0"/>
        <w:rPr/>
      </w:pPr>
      <w:r>
        <w:rPr/>
        <w:t>Q13</w:t>
        <w:tab/>
        <w:t>Have you investigated this matter internally? If so, what did you find? If not, why not?</w:t>
      </w:r>
    </w:p>
    <w:p>
      <w:pPr>
        <w:pStyle w:val="Normal"/>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A13</w:t>
        <w:tab/>
        <w:t>Again, these are personnel issues and Stanley does not discuss them publicly.</w:t>
      </w:r>
    </w:p>
    <w:p>
      <w:pPr>
        <w:pStyle w:val="Normal"/>
        <w:rPr>
          <w:rFonts w:ascii="Arial" w:hAnsi="Arial" w:cs="Arial"/>
          <w:sz w:val="24"/>
        </w:rPr>
      </w:pPr>
      <w:r>
        <w:rPr>
          <w:rFonts w:cs="Arial" w:ascii="Arial" w:hAnsi="Arial"/>
          <w:sz w:val="24"/>
        </w:rPr>
      </w:r>
    </w:p>
    <w:p>
      <w:pPr>
        <w:pStyle w:val="Heading3"/>
        <w:ind w:hanging="720" w:start="720" w:end="0"/>
        <w:rPr/>
      </w:pPr>
      <w:r>
        <w:rPr/>
        <w:t>Q14</w:t>
        <w:tab/>
        <w:t xml:space="preserve">Will you at least concede that – even if no laws were broken – the tightly-coordinated nature of these transactions involving Stanley and X </w:t>
      </w:r>
      <w:r>
        <w:rPr>
          <w:i/>
        </w:rPr>
        <w:t>look</w:t>
      </w:r>
      <w:r>
        <w:rPr/>
        <w:t>s highly suspicious?</w:t>
      </w:r>
    </w:p>
    <w:p>
      <w:pPr>
        <w:pStyle w:val="Normal"/>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A14</w:t>
        <w:tab/>
        <w:t>At all times Stanley has operated and continues to operate within the rules of the Power Pool of Alberta and applicable Canadian competition law.</w:t>
      </w:r>
    </w:p>
    <w:p>
      <w:pPr>
        <w:pStyle w:val="Normal"/>
        <w:rPr>
          <w:rFonts w:ascii="Arial" w:hAnsi="Arial" w:cs="Arial"/>
          <w:sz w:val="24"/>
        </w:rPr>
      </w:pPr>
      <w:r>
        <w:rPr>
          <w:rFonts w:cs="Arial" w:ascii="Arial" w:hAnsi="Arial"/>
          <w:sz w:val="24"/>
        </w:rPr>
      </w:r>
    </w:p>
    <w:p>
      <w:pPr>
        <w:pStyle w:val="Heading3"/>
        <w:ind w:hanging="720" w:start="720" w:end="0"/>
        <w:rPr/>
      </w:pPr>
      <w:r>
        <w:rPr/>
        <w:t>Q15</w:t>
        <w:tab/>
        <w:t xml:space="preserve">In circumstances like these, what are your reporting requirements with respect to the federal and provincial regulatory bodies that govern your activities?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A15</w:t>
        <w:tab/>
        <w:t>We are cooperating with the investigation.</w:t>
      </w:r>
    </w:p>
    <w:p>
      <w:pPr>
        <w:pStyle w:val="Normal"/>
        <w:rPr>
          <w:rFonts w:ascii="Arial" w:hAnsi="Arial" w:cs="Arial"/>
          <w:sz w:val="24"/>
        </w:rPr>
      </w:pPr>
      <w:r>
        <w:rPr>
          <w:rFonts w:cs="Arial" w:ascii="Arial" w:hAnsi="Arial"/>
          <w:sz w:val="24"/>
        </w:rPr>
      </w:r>
    </w:p>
    <w:p>
      <w:pPr>
        <w:pStyle w:val="Heading3"/>
        <w:ind w:hanging="720" w:start="720" w:end="0"/>
        <w:rPr/>
      </w:pPr>
      <w:r>
        <w:rPr/>
        <w:t>Q16</w:t>
        <w:tab/>
        <w:t>Have you been in contact with any of these agencies concerning the allegations surrounding these transactions? If so, what has their response been?</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A16</w:t>
        <w:tab/>
        <w:t>Again, we are cooperating with the investigation</w:t>
      </w:r>
    </w:p>
    <w:p>
      <w:pPr>
        <w:pStyle w:val="Normal"/>
        <w:rPr>
          <w:rFonts w:ascii="Arial" w:hAnsi="Arial" w:cs="Arial"/>
          <w:sz w:val="24"/>
        </w:rPr>
      </w:pPr>
      <w:r>
        <w:rPr>
          <w:rFonts w:cs="Arial" w:ascii="Arial" w:hAnsi="Arial"/>
          <w:sz w:val="24"/>
        </w:rPr>
      </w:r>
    </w:p>
    <w:p>
      <w:pPr>
        <w:pStyle w:val="Heading3"/>
        <w:ind w:hanging="720" w:start="720" w:end="0"/>
        <w:rPr/>
      </w:pPr>
      <w:r>
        <w:rPr/>
        <w:t>Q17</w:t>
        <w:tab/>
        <w:t xml:space="preserve">We have learned that a year before this investigation began, Stanley participated in an energy industry forum on the development of regulations governing Alberta’s Market Surveillance Administrator (MSA). Your largest concern at that time centered on the MSA’s ability to seize company records in the process of an investigation. Why? And was this just coincidence, given that your records have now actually </w:t>
      </w:r>
      <w:r>
        <w:rPr>
          <w:i/>
        </w:rPr>
        <w:t>been seized</w:t>
      </w:r>
      <w:r>
        <w:rPr/>
        <w:t xml:space="preserve"> in the process of an investigation? </w:t>
      </w:r>
    </w:p>
    <w:p>
      <w:pPr>
        <w:pStyle w:val="Normal"/>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A17</w:t>
        <w:tab/>
        <w:t>These events are totally unrelated.  In this case, the original investigation was initiated by the Power Pool’s MSA followed by the Power Pool Council referring the matter to the Competition Bureau.  We are confident that the Bureau’s investigation will show that at all times we acted within the rules of the Power Pool of Alberta and applicable Canadian competition law.</w:t>
      </w:r>
    </w:p>
    <w:p>
      <w:pPr>
        <w:pStyle w:val="Normal"/>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t>The regulators have recently enhanced the Power Pool’s ability to monitor the market, investigate problems and take action.  We support these efforts and also support strong enforcement of the rules that govern participation in the Alberta market.</w:t>
      </w:r>
    </w:p>
    <w:p>
      <w:pPr>
        <w:pStyle w:val="Normal"/>
        <w:rPr>
          <w:rFonts w:ascii="Arial" w:hAnsi="Arial" w:cs="Arial"/>
          <w:sz w:val="24"/>
        </w:rPr>
      </w:pPr>
      <w:r>
        <w:rPr>
          <w:rFonts w:cs="Arial" w:ascii="Arial" w:hAnsi="Arial"/>
          <w:sz w:val="24"/>
        </w:rPr>
      </w:r>
    </w:p>
    <w:p>
      <w:pPr>
        <w:pStyle w:val="Heading3"/>
        <w:ind w:hanging="720" w:start="720" w:end="0"/>
        <w:rPr/>
      </w:pPr>
      <w:r>
        <w:rPr/>
        <w:t>Q18</w:t>
        <w:tab/>
        <w:t>What is the next step in the investigation? Do you expect charges will be laid?</w:t>
      </w:r>
    </w:p>
    <w:p>
      <w:pPr>
        <w:pStyle w:val="Normal"/>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A18</w:t>
        <w:tab/>
        <w:t>This question would be better addressed to the Competition Bureau. We are cooperating with the investigation and believe that ultimately no charges will be filed.</w:t>
      </w:r>
    </w:p>
    <w:p>
      <w:pPr>
        <w:pStyle w:val="Normal"/>
        <w:rPr>
          <w:rFonts w:ascii="Arial" w:hAnsi="Arial" w:cs="Arial"/>
          <w:sz w:val="24"/>
        </w:rPr>
      </w:pPr>
      <w:r>
        <w:rPr>
          <w:rFonts w:cs="Arial" w:ascii="Arial" w:hAnsi="Arial"/>
          <w:sz w:val="24"/>
        </w:rPr>
      </w:r>
    </w:p>
    <w:p>
      <w:pPr>
        <w:pStyle w:val="Heading3"/>
        <w:ind w:hanging="720" w:start="720" w:end="0"/>
        <w:rPr/>
      </w:pPr>
      <w:r>
        <w:rPr/>
        <w:t>Q19</w:t>
        <w:tab/>
        <w:t>Regardless of your guilt or innocence, does this episode point to shortcomings in the existing market design for electricity in Alberta? Or, in your view, is the system fine as it is?</w:t>
      </w:r>
    </w:p>
    <w:p>
      <w:pPr>
        <w:pStyle w:val="Normal"/>
        <w:rPr>
          <w:rFonts w:ascii="Arial" w:hAnsi="Arial" w:cs="Arial"/>
          <w:sz w:val="24"/>
        </w:rPr>
      </w:pPr>
      <w:r>
        <w:rPr>
          <w:rFonts w:cs="Arial" w:ascii="Arial" w:hAnsi="Arial"/>
          <w:sz w:val="24"/>
        </w:rPr>
      </w:r>
    </w:p>
    <w:p>
      <w:pPr>
        <w:pStyle w:val="BodyTextIndent3"/>
        <w:rPr/>
      </w:pPr>
      <w:r>
        <w:rPr/>
        <w:t>A19</w:t>
        <w:tab/>
        <w:t>The Power Pool of Alberta is still developing.  The Power Pool itself only produces prices for about 10% - 15% of the market (the rest of the market is governed by prices fixed by legislation).</w:t>
      </w:r>
    </w:p>
    <w:p>
      <w:pPr>
        <w:pStyle w:val="Normal"/>
        <w:ind w:hanging="720" w:start="720" w:end="0"/>
        <w:rPr>
          <w:rFonts w:ascii="Arial" w:hAnsi="Arial" w:cs="Arial"/>
          <w:sz w:val="24"/>
        </w:rPr>
      </w:pPr>
      <w:r>
        <w:rPr>
          <w:rFonts w:cs="Arial" w:ascii="Arial" w:hAnsi="Arial"/>
          <w:sz w:val="24"/>
        </w:rPr>
      </w:r>
    </w:p>
    <w:p>
      <w:pPr>
        <w:pStyle w:val="Normal"/>
        <w:ind w:start="720" w:end="0"/>
        <w:jc w:val="both"/>
        <w:rPr/>
      </w:pPr>
      <w:r>
        <w:rPr>
          <w:rFonts w:cs="Arial" w:ascii="Arial" w:hAnsi="Arial"/>
          <w:sz w:val="24"/>
        </w:rPr>
        <w:t>In Alberta, as in other North American markets, policy makers are monitoring or investigating the underlying causes of the high prices and examining potential solutions.  (Congress and FERC investigated Midwest U.S. price spikes in 1998; California and the Northwest Governor’s Council are investigating high prices occurring in the west during this summer.)</w:t>
      </w:r>
      <w:r>
        <w:rPr>
          <w:rFonts w:cs="Arial" w:ascii="Arial" w:hAnsi="Arial"/>
          <w:b/>
          <w:sz w:val="24"/>
        </w:rPr>
        <w:t xml:space="preserve"> </w:t>
      </w:r>
    </w:p>
    <w:p>
      <w:pPr>
        <w:pStyle w:val="Normal"/>
        <w:jc w:val="both"/>
        <w:rPr>
          <w:rFonts w:ascii="Arial" w:hAnsi="Arial" w:cs="Arial"/>
          <w:b/>
          <w:sz w:val="24"/>
        </w:rPr>
      </w:pPr>
      <w:r>
        <w:rPr>
          <w:rFonts w:cs="Arial" w:ascii="Arial" w:hAnsi="Arial"/>
          <w:b/>
          <w:sz w:val="24"/>
        </w:rPr>
      </w:r>
    </w:p>
    <w:p>
      <w:pPr>
        <w:pStyle w:val="Normal"/>
        <w:ind w:start="720" w:end="0"/>
        <w:jc w:val="both"/>
        <w:rPr>
          <w:rFonts w:ascii="Arial" w:hAnsi="Arial" w:cs="Arial"/>
          <w:sz w:val="24"/>
        </w:rPr>
      </w:pPr>
      <w:r>
        <w:rPr>
          <w:rFonts w:cs="Arial" w:ascii="Arial" w:hAnsi="Arial"/>
          <w:sz w:val="24"/>
        </w:rPr>
        <w:t>We are confident that policy makers will come to the same conclusions the market has - - we need to make it easier to bring additional power plants online; we need an open grid to make it easier to move power from where it is available to where it is needed; and we need customers to have choices so they can reach competing suppliers and get access to demand side solutions.  Alberta itself has adopted legislation that provides for customer choice for all classes of electricity consumers to begin on January 1, 2001, and has implemented a number of initiatives to attract new players and investors into the generation, wholesale trading and retail sectors.  We support these initiatives.</w:t>
      </w:r>
    </w:p>
    <w:p>
      <w:pPr>
        <w:pStyle w:val="Normal"/>
        <w:rPr>
          <w:rFonts w:ascii="Arial" w:hAnsi="Arial" w:cs="Arial"/>
          <w:sz w:val="24"/>
        </w:rPr>
      </w:pPr>
      <w:r>
        <w:rPr>
          <w:rFonts w:cs="Arial" w:ascii="Arial" w:hAnsi="Arial"/>
          <w:sz w:val="24"/>
        </w:rPr>
      </w:r>
    </w:p>
    <w:p>
      <w:pPr>
        <w:pStyle w:val="Heading3"/>
        <w:ind w:hanging="720" w:start="720" w:end="0"/>
        <w:rPr/>
      </w:pPr>
      <w:r>
        <w:rPr/>
        <w:t xml:space="preserve">Q20 </w:t>
        <w:tab/>
        <w:t>Stanley has an apparently well-earned reputation for corporate arrogance (The Economist – June 3, 2000). Why should Alberta energy consumers trust your reassurances in this matter?</w:t>
      </w:r>
    </w:p>
    <w:p>
      <w:pPr>
        <w:pStyle w:val="Heading3"/>
        <w:ind w:hanging="0" w:start="0"/>
        <w:rPr/>
      </w:pPr>
      <w:r>
        <w:rPr/>
      </w:r>
    </w:p>
    <w:p>
      <w:pPr>
        <w:pStyle w:val="Normal"/>
        <w:rPr>
          <w:rFonts w:ascii="Arial" w:hAnsi="Arial" w:cs="Arial"/>
          <w:sz w:val="24"/>
        </w:rPr>
      </w:pPr>
      <w:r>
        <w:rPr>
          <w:rFonts w:cs="Arial" w:ascii="Arial" w:hAnsi="Arial"/>
          <w:sz w:val="24"/>
        </w:rPr>
        <w:t>A20</w:t>
        <w:tab/>
        <w:t>XX Perhaps best answered by someone else</w:t>
      </w:r>
    </w:p>
    <w:p>
      <w:pPr>
        <w:pStyle w:val="Normal"/>
        <w:rPr>
          <w:rFonts w:ascii="Arial" w:hAnsi="Arial" w:cs="Arial"/>
          <w:sz w:val="24"/>
        </w:rPr>
      </w:pPr>
      <w:r>
        <w:rPr>
          <w:rFonts w:cs="Arial" w:ascii="Arial" w:hAnsi="Arial"/>
          <w:sz w:val="24"/>
        </w:rPr>
      </w:r>
    </w:p>
    <w:p>
      <w:pPr>
        <w:pStyle w:val="Heading3"/>
        <w:ind w:hanging="0" w:start="0"/>
        <w:rPr/>
      </w:pPr>
      <w:r>
        <w:rPr/>
        <w:t>Q21</w:t>
        <w:tab/>
        <w:t>Why didn’t X sell directly into the pool?</w:t>
      </w:r>
    </w:p>
    <w:p>
      <w:pPr>
        <w:pStyle w:val="Normal"/>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A21</w:t>
        <w:tab/>
        <w:t>That question would be better addressed by representatives of X, since we can not speak for their company.</w:t>
      </w:r>
    </w:p>
    <w:p>
      <w:pPr>
        <w:pStyle w:val="Normal"/>
        <w:rPr>
          <w:rFonts w:ascii="Arial" w:hAnsi="Arial" w:cs="Arial"/>
          <w:sz w:val="24"/>
        </w:rPr>
      </w:pPr>
      <w:r>
        <w:rPr>
          <w:rFonts w:cs="Arial" w:ascii="Arial" w:hAnsi="Arial"/>
          <w:sz w:val="24"/>
        </w:rPr>
      </w:r>
    </w:p>
    <w:p>
      <w:pPr>
        <w:pStyle w:val="Normal"/>
        <w:ind w:hanging="720" w:start="720" w:end="0"/>
        <w:rPr/>
      </w:pPr>
      <w:r>
        <w:rPr>
          <w:rFonts w:cs="Arial" w:ascii="Arial" w:hAnsi="Arial"/>
          <w:b/>
          <w:sz w:val="24"/>
        </w:rPr>
        <w:t>Q22</w:t>
        <w:tab/>
        <w:t xml:space="preserve">You are basing your defense against bid-rigging in this case on the premise that the Alberta pool isn’t really a </w:t>
      </w:r>
      <w:r>
        <w:rPr>
          <w:rFonts w:cs="Arial" w:ascii="Arial" w:hAnsi="Arial"/>
          <w:b/>
          <w:i/>
          <w:sz w:val="24"/>
        </w:rPr>
        <w:t>bid process</w:t>
      </w:r>
      <w:r>
        <w:rPr>
          <w:rFonts w:cs="Arial" w:ascii="Arial" w:hAnsi="Arial"/>
          <w:b/>
          <w:sz w:val="24"/>
        </w:rPr>
        <w:t>. Yet you are one of the architects of the market' s design, in which a functioning bid process was a central feature. How can you say this now?</w:t>
      </w:r>
    </w:p>
    <w:p>
      <w:pPr>
        <w:pStyle w:val="Normal"/>
        <w:ind w:hanging="720" w:start="720" w:end="0"/>
        <w:rPr>
          <w:rFonts w:ascii="Arial" w:hAnsi="Arial" w:cs="Arial"/>
          <w:b/>
          <w:sz w:val="24"/>
        </w:rPr>
      </w:pPr>
      <w:r>
        <w:rPr>
          <w:rFonts w:cs="Arial" w:ascii="Arial" w:hAnsi="Arial"/>
          <w:b/>
          <w:sz w:val="24"/>
        </w:rPr>
      </w:r>
    </w:p>
    <w:p>
      <w:pPr>
        <w:pStyle w:val="Normal"/>
        <w:ind w:hanging="720" w:start="720" w:end="0"/>
        <w:rPr>
          <w:rFonts w:ascii="Arial" w:hAnsi="Arial" w:cs="Arial"/>
          <w:sz w:val="24"/>
        </w:rPr>
      </w:pPr>
      <w:r>
        <w:rPr>
          <w:rFonts w:cs="Arial" w:ascii="Arial" w:hAnsi="Arial"/>
          <w:sz w:val="24"/>
        </w:rPr>
        <w:t>A22</w:t>
        <w:tab/>
        <w:t>The Power Pool of Alberta was, in 1999, and is still today, very much in transition.  Transitional markets can be difficult to figure out and can sometimes be risky for participants.  We pride ourselves in our ability to understand the markets in which we participate, to function efficiently in those markets, and to manage the risks for other participants.</w:t>
      </w:r>
    </w:p>
    <w:p>
      <w:pPr>
        <w:pStyle w:val="Normal"/>
        <w:ind w:hanging="720" w:start="720" w:end="0"/>
        <w:rPr>
          <w:rFonts w:ascii="Arial" w:hAnsi="Arial" w:cs="Arial"/>
          <w:sz w:val="24"/>
        </w:rPr>
      </w:pPr>
      <w:r>
        <w:rPr>
          <w:rFonts w:cs="Arial" w:ascii="Arial" w:hAnsi="Arial"/>
          <w:sz w:val="24"/>
        </w:rPr>
      </w:r>
    </w:p>
    <w:p>
      <w:pPr>
        <w:pStyle w:val="BodyTextIndent"/>
        <w:rPr/>
      </w:pPr>
      <w:r>
        <w:rPr/>
        <w:t>Q23</w:t>
        <w:tab/>
        <w:t>You claim that the current rules allow transactions like this to happen all the time. Why, then, are the investigators only interested in such transactions involving Stanley and X?</w:t>
      </w:r>
    </w:p>
    <w:p>
      <w:pPr>
        <w:pStyle w:val="BodyTextIndent"/>
        <w:rPr/>
      </w:pPr>
      <w:r>
        <w:rPr/>
      </w:r>
    </w:p>
    <w:p>
      <w:pPr>
        <w:pStyle w:val="Normal"/>
        <w:ind w:hanging="720" w:start="720" w:end="0"/>
        <w:rPr>
          <w:rFonts w:ascii="Arial" w:hAnsi="Arial" w:cs="Arial"/>
          <w:b/>
          <w:sz w:val="24"/>
        </w:rPr>
      </w:pPr>
      <w:r>
        <w:rPr>
          <w:rFonts w:cs="Arial" w:ascii="Arial" w:hAnsi="Arial"/>
          <w:b/>
          <w:sz w:val="24"/>
        </w:rPr>
        <w:t>A24</w:t>
        <w:tab/>
      </w:r>
      <w:r>
        <w:rPr>
          <w:rFonts w:cs="Arial" w:ascii="Arial" w:hAnsi="Arial"/>
          <w:sz w:val="24"/>
        </w:rPr>
        <w:t>This question would be better addressed to the Competition Bureau.</w:t>
      </w:r>
    </w:p>
    <w:p>
      <w:pPr>
        <w:pStyle w:val="BodyTextIndent"/>
        <w:rPr>
          <w:rFonts w:ascii="Arial" w:hAnsi="Arial" w:cs="Arial"/>
          <w:b w:val="false"/>
          <w:sz w:val="24"/>
        </w:rPr>
      </w:pPr>
      <w:r>
        <w:rPr>
          <w:rFonts w:cs="Arial"/>
          <w:b w:val="false"/>
          <w:sz w:val="24"/>
        </w:rPr>
      </w:r>
    </w:p>
    <w:p>
      <w:pPr>
        <w:pStyle w:val="BodyTextIndent"/>
        <w:rPr/>
      </w:pPr>
      <w:r>
        <w:rPr/>
        <w:t>Q25</w:t>
        <w:tab/>
        <w:t>Have you been investigated for any reason in other jurisdictions for allegations of bid-rigging or other market misconduct? If so, where?</w:t>
      </w:r>
    </w:p>
    <w:p>
      <w:pPr>
        <w:pStyle w:val="BodyTextIndent"/>
        <w:rPr/>
      </w:pPr>
      <w:r>
        <w:rPr/>
      </w:r>
    </w:p>
    <w:p>
      <w:pPr>
        <w:pStyle w:val="BodyTextIndent"/>
        <w:rPr>
          <w:b w:val="false"/>
        </w:rPr>
      </w:pPr>
      <w:r>
        <w:rPr>
          <w:b w:val="false"/>
        </w:rPr>
        <w:t>A25</w:t>
        <w:tab/>
        <w:t xml:space="preserve">There have been no other allegations involving collusion or bid rigging involving Stanley in any other jurisdiction.  In 1999, there were allegations leveled against Stanley in the California power market with respect to attempting to oversubscribe a section of the transmission system.  </w:t>
      </w:r>
    </w:p>
    <w:p>
      <w:pPr>
        <w:pStyle w:val="BodyTextIndent"/>
        <w:rPr>
          <w:b w:val="false"/>
        </w:rPr>
      </w:pPr>
      <w:r>
        <w:rPr>
          <w:b w:val="false"/>
        </w:rPr>
      </w:r>
    </w:p>
    <w:p>
      <w:pPr>
        <w:pStyle w:val="BodyTextIndent"/>
        <w:rPr/>
      </w:pPr>
      <w:r>
        <w:rPr/>
        <w:t>Q26</w:t>
        <w:tab/>
        <w:t>What was the outcome of those investigations? Were charges laid? Were there convictions? Were fines or prison sentences involved?</w:t>
      </w:r>
    </w:p>
    <w:p>
      <w:pPr>
        <w:pStyle w:val="BodyTextIndent"/>
        <w:rPr/>
      </w:pPr>
      <w:r>
        <w:rPr/>
      </w:r>
    </w:p>
    <w:p>
      <w:pPr>
        <w:pStyle w:val="BodyTextIndent"/>
        <w:rPr>
          <w:b w:val="false"/>
        </w:rPr>
      </w:pPr>
      <w:r>
        <w:rPr>
          <w:b w:val="false"/>
        </w:rPr>
        <w:t>A26</w:t>
        <w:tab/>
        <w:t>No charges were filed and there were no convictions in the case involving Stanley and the Cal PX.  We did agree to a $25,000 settlement of the claims, in order to compensate the Cal Px for their costs during the investigation.</w:t>
      </w:r>
    </w:p>
    <w:p>
      <w:pPr>
        <w:pStyle w:val="BodyTextIndent"/>
        <w:rPr>
          <w:b w:val="false"/>
        </w:rPr>
      </w:pPr>
      <w:r>
        <w:rPr>
          <w:b w:val="false"/>
        </w:rPr>
      </w:r>
    </w:p>
    <w:p>
      <w:pPr>
        <w:pStyle w:val="BodyTextIndent"/>
        <w:rPr/>
      </w:pPr>
      <w:r>
        <w:rPr/>
        <w:t>Q27</w:t>
        <w:tab/>
        <w:t>Based on this track record, why should Albertans and Canadians believe your claims of innocence in this case?</w:t>
      </w:r>
    </w:p>
    <w:p>
      <w:pPr>
        <w:pStyle w:val="BodyTextIndent"/>
        <w:rPr>
          <w:b w:val="false"/>
        </w:rPr>
      </w:pPr>
      <w:r>
        <w:rPr>
          <w:b w:val="false"/>
        </w:rPr>
      </w:r>
    </w:p>
    <w:p>
      <w:pPr>
        <w:pStyle w:val="BodyTextIndent"/>
        <w:rPr>
          <w:b w:val="false"/>
        </w:rPr>
      </w:pPr>
      <w:r>
        <w:rPr>
          <w:b w:val="false"/>
        </w:rPr>
        <w:t>A27</w:t>
        <w:tab/>
        <w:t xml:space="preserve">As the leading power marketer in the United States and in the UK, we have built and maintain an exemplary record of service to our customers and always operate within the rules  </w:t>
      </w:r>
    </w:p>
    <w:p>
      <w:pPr>
        <w:pStyle w:val="Heading5"/>
        <w:ind w:hanging="0" w:start="0"/>
        <w:rPr>
          <w:b w:val="false"/>
          <w:sz w:val="24"/>
          <w:u w:val="none"/>
        </w:rPr>
      </w:pPr>
      <w:r>
        <w:rPr>
          <w:b w:val="false"/>
          <w:sz w:val="24"/>
          <w:u w:val="none"/>
        </w:rPr>
      </w:r>
    </w:p>
    <w:p>
      <w:pPr>
        <w:pStyle w:val="BodyTextIndent"/>
        <w:rPr/>
      </w:pPr>
      <w:r>
        <w:rPr/>
        <w:t>Q28</w:t>
        <w:tab/>
        <w:t>+Why did you wait for an investigation to claim that the Alberta pool is not really a bid process? Why didn’t you share this conclusion with the regulators or the government when it first became apparent to you?</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A28</w:t>
        <w:tab/>
        <w:t>XX Perhaps best answered by someone else</w:t>
      </w:r>
    </w:p>
    <w:p>
      <w:pPr>
        <w:pStyle w:val="Normal"/>
        <w:ind w:hanging="720" w:start="720" w:end="0"/>
        <w:rPr>
          <w:rFonts w:ascii="Arial" w:hAnsi="Arial" w:cs="Arial"/>
          <w:sz w:val="24"/>
        </w:rPr>
      </w:pPr>
      <w:r>
        <w:rPr>
          <w:rFonts w:cs="Arial" w:ascii="Arial" w:hAnsi="Arial"/>
          <w:sz w:val="24"/>
        </w:rPr>
      </w:r>
    </w:p>
    <w:p>
      <w:pPr>
        <w:pStyle w:val="BodyTextIndent"/>
        <w:rPr/>
      </w:pPr>
      <w:r>
        <w:rPr/>
        <w:t>Q29</w:t>
        <w:tab/>
        <w:t>This investigation will likely raise questions about your conduct in other markets where you operate. What would you say to regulators and customers elsewhere to assure them that this is an isolated case?</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A29</w:t>
        <w:tab/>
        <w:t>We buy and sell over 900 products on a daily basis in markets all over the world and this is the first time allegations of this type have ever been leveled against Stanley.  We are confident that the Bureau’s investigation will show that at all times we acted within the rules of the Power Pool of Alberta and applicable Canadian competition law.</w:t>
      </w:r>
    </w:p>
    <w:p>
      <w:pPr>
        <w:pStyle w:val="Normal"/>
        <w:rPr>
          <w:rFonts w:ascii="Arial" w:hAnsi="Arial" w:cs="Arial"/>
          <w:sz w:val="24"/>
        </w:rPr>
      </w:pPr>
      <w:r>
        <w:rPr>
          <w:rFonts w:cs="Arial" w:ascii="Arial" w:hAnsi="Arial"/>
          <w:sz w:val="24"/>
        </w:rPr>
      </w:r>
    </w:p>
    <w:p>
      <w:pPr>
        <w:pStyle w:val="Normal"/>
        <w:rPr/>
      </w:pPr>
      <w:r>
        <w:rPr/>
      </w:r>
    </w:p>
    <w:p>
      <w:pPr>
        <w:pStyle w:val="Heading5"/>
        <w:ind w:hanging="0" w:start="0"/>
        <w:rPr/>
      </w:pPr>
      <w:r>
        <w:rPr/>
        <w:t>IV</w:t>
        <w:tab/>
        <w:t>Evolution of the Power Pool of Alberta</w:t>
      </w:r>
    </w:p>
    <w:p>
      <w:pPr>
        <w:pStyle w:val="Normal"/>
        <w:rPr>
          <w:rFonts w:ascii="Arial" w:hAnsi="Arial" w:cs="Arial"/>
          <w:sz w:val="24"/>
        </w:rPr>
      </w:pPr>
      <w:r>
        <w:rPr>
          <w:rFonts w:cs="Arial" w:ascii="Arial" w:hAnsi="Arial"/>
          <w:sz w:val="24"/>
        </w:rPr>
      </w:r>
    </w:p>
    <w:p>
      <w:pPr>
        <w:pStyle w:val="Heading3"/>
        <w:ind w:hanging="0" w:start="0"/>
        <w:rPr/>
      </w:pPr>
      <w:r>
        <w:rPr/>
        <w:t>Q30</w:t>
        <w:tab/>
        <w:t>When did the pool begin operating in its current form?</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A30</w:t>
        <w:tab/>
        <w:t>The Power Pool of Alberta began operating on January 1, 1996.</w:t>
      </w:r>
    </w:p>
    <w:p>
      <w:pPr>
        <w:pStyle w:val="Normal"/>
        <w:rPr>
          <w:rFonts w:ascii="Arial" w:hAnsi="Arial" w:cs="Arial"/>
          <w:sz w:val="24"/>
        </w:rPr>
      </w:pPr>
      <w:r>
        <w:rPr>
          <w:rFonts w:cs="Arial" w:ascii="Arial" w:hAnsi="Arial"/>
          <w:sz w:val="24"/>
        </w:rPr>
      </w:r>
    </w:p>
    <w:p>
      <w:pPr>
        <w:pStyle w:val="Heading3"/>
        <w:ind w:hanging="0" w:start="0"/>
        <w:rPr/>
      </w:pPr>
      <w:r>
        <w:rPr/>
        <w:t>Q31</w:t>
        <w:tab/>
        <w:t>What operating principles is the pool based on?</w:t>
      </w:r>
    </w:p>
    <w:p>
      <w:pPr>
        <w:pStyle w:val="Normal"/>
        <w:rPr>
          <w:rFonts w:ascii="Arial" w:hAnsi="Arial" w:cs="Arial"/>
          <w:sz w:val="24"/>
        </w:rPr>
      </w:pPr>
      <w:r>
        <w:rPr>
          <w:rFonts w:cs="Arial" w:ascii="Arial" w:hAnsi="Arial"/>
          <w:sz w:val="24"/>
        </w:rPr>
      </w:r>
    </w:p>
    <w:p>
      <w:pPr>
        <w:pStyle w:val="BodyTextIndent3"/>
        <w:rPr/>
      </w:pPr>
      <w:r>
        <w:rPr/>
        <w:t>A31</w:t>
        <w:tab/>
        <w:t>The Power Pool coordinates the production and consumption of electricity in the Alberta Interconnected System. It establishes an hourly price for electricity based on using generating resources in order of cheapest to most expensive. Producers submit offers to supply electricity, and some loads submit bids to reduce consumption at a particular price. These offers and bids are determined by each individual operator, and are not directly regulated.</w:t>
      </w:r>
    </w:p>
    <w:p>
      <w:pPr>
        <w:pStyle w:val="Normal"/>
        <w:rPr>
          <w:rFonts w:ascii="Arial" w:hAnsi="Arial" w:cs="Arial"/>
          <w:sz w:val="24"/>
        </w:rPr>
      </w:pPr>
      <w:r>
        <w:rPr>
          <w:rFonts w:cs="Arial" w:ascii="Arial" w:hAnsi="Arial"/>
          <w:sz w:val="24"/>
        </w:rPr>
      </w:r>
    </w:p>
    <w:p>
      <w:pPr>
        <w:pStyle w:val="Heading3"/>
        <w:ind w:hanging="0" w:start="0"/>
        <w:rPr/>
      </w:pPr>
      <w:r>
        <w:rPr/>
        <w:t>Q32</w:t>
        <w:tab/>
        <w:t>Is it similar in design to electricity markets in other jurisdictions?</w:t>
      </w:r>
    </w:p>
    <w:p>
      <w:pPr>
        <w:pStyle w:val="Normal"/>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A32</w:t>
        <w:tab/>
        <w:t>It reflects some of the earlier design principles used in other markets. For example, binding prices are only determined based on actual events – in ‘real time’  - based on actual production and actual consumption. The original market in Victoria (Australia) was also a ‘real time’ market, though VicPool has been superceded by the National Electricity Market.</w:t>
      </w:r>
    </w:p>
    <w:p>
      <w:pPr>
        <w:pStyle w:val="Normal"/>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t>Several Latin American markets  - particularly Colombia - are based on the principle of calculating a real-time price during the day based on actual use of resources.</w:t>
      </w:r>
    </w:p>
    <w:p>
      <w:pPr>
        <w:pStyle w:val="Normal"/>
        <w:rPr>
          <w:rFonts w:ascii="Arial" w:hAnsi="Arial" w:cs="Arial"/>
          <w:sz w:val="24"/>
        </w:rPr>
      </w:pPr>
      <w:r>
        <w:rPr>
          <w:rFonts w:cs="Arial" w:ascii="Arial" w:hAnsi="Arial"/>
          <w:sz w:val="24"/>
        </w:rPr>
      </w:r>
    </w:p>
    <w:p>
      <w:pPr>
        <w:pStyle w:val="Heading3"/>
        <w:ind w:hanging="0" w:start="0"/>
        <w:rPr/>
      </w:pPr>
      <w:r>
        <w:rPr/>
        <w:t>Q33</w:t>
        <w:tab/>
        <w:t>Are their features to the Alberta pool that are not found elsewhere?</w:t>
      </w:r>
    </w:p>
    <w:p>
      <w:pPr>
        <w:pStyle w:val="Normal"/>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A33</w:t>
        <w:tab/>
        <w:t xml:space="preserve">Most of the major markets in North America have moved beyond a single ‘spot’ market for electricity. It is common for advanced commitments to be made which are financially binding – such as day-ahead markets in California and New England. Also, Alberta does not have a market for procuring system reserves, or for pricing transmission congestion. </w:t>
      </w:r>
    </w:p>
    <w:p>
      <w:pPr>
        <w:pStyle w:val="Normal"/>
        <w:rPr>
          <w:rFonts w:ascii="Arial" w:hAnsi="Arial" w:cs="Arial"/>
          <w:sz w:val="24"/>
        </w:rPr>
      </w:pPr>
      <w:r>
        <w:rPr>
          <w:rFonts w:cs="Arial" w:ascii="Arial" w:hAnsi="Arial"/>
          <w:sz w:val="24"/>
        </w:rPr>
      </w:r>
    </w:p>
    <w:p>
      <w:pPr>
        <w:pStyle w:val="Heading3"/>
        <w:ind w:hanging="0" w:start="0"/>
        <w:rPr/>
      </w:pPr>
      <w:r>
        <w:rPr/>
        <w:t>Q34</w:t>
        <w:tab/>
        <w:t>How is the pool regulated?</w:t>
      </w:r>
    </w:p>
    <w:p>
      <w:pPr>
        <w:pStyle w:val="Normal"/>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A34</w:t>
        <w:tab/>
        <w:t>The Power Pool Council – comprised of individuals appointed by the government – has the primary responsibility for overseeing the Power Pool’s operations.</w:t>
      </w:r>
    </w:p>
    <w:p>
      <w:pPr>
        <w:pStyle w:val="Normal"/>
        <w:rPr>
          <w:rFonts w:ascii="Arial" w:hAnsi="Arial" w:cs="Arial"/>
          <w:sz w:val="24"/>
        </w:rPr>
      </w:pPr>
      <w:r>
        <w:rPr>
          <w:rFonts w:cs="Arial" w:ascii="Arial" w:hAnsi="Arial"/>
          <w:sz w:val="24"/>
        </w:rPr>
      </w:r>
    </w:p>
    <w:p>
      <w:pPr>
        <w:pStyle w:val="Heading3"/>
        <w:ind w:hanging="0" w:start="0"/>
        <w:rPr/>
      </w:pPr>
      <w:r>
        <w:rPr/>
        <w:t>Q35</w:t>
        <w:tab/>
        <w:t>You have said that the Alberta pool is still evolving. How?</w:t>
      </w:r>
    </w:p>
    <w:p>
      <w:pPr>
        <w:pStyle w:val="Normal"/>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A35</w:t>
        <w:tab/>
        <w:t xml:space="preserve">The biggest anticipated development in the operation of the Pool is the creation of a day-ahead market. In such a market, producers and consumers make financially binding commitments to sell or purchase electricity. This greatly enhances the ability of certain participants who need advance commitments (such as coal plants) to schedule the use of their resources. It also allows more flexible resources (price-responsive load, hydro plants, and flexible peaking plants) to have greater participation in the spot market, where their ability to respond to rapidly changing conditions will be most valued. This market will also reduce the impact of last-minute changes in real-time supply. In the current system, such changes affect the entire amount of traded electricity – if a day-ahead market exists, such changes would only affect the electricity whose price was not already fixed day-ahead. </w:t>
      </w:r>
    </w:p>
    <w:p>
      <w:pPr>
        <w:pStyle w:val="Normal"/>
        <w:rPr>
          <w:rFonts w:ascii="Arial" w:hAnsi="Arial" w:cs="Arial"/>
          <w:sz w:val="24"/>
        </w:rPr>
      </w:pPr>
      <w:r>
        <w:rPr>
          <w:rFonts w:cs="Arial" w:ascii="Arial" w:hAnsi="Arial"/>
          <w:sz w:val="24"/>
        </w:rPr>
      </w:r>
    </w:p>
    <w:p>
      <w:pPr>
        <w:pStyle w:val="BodyText"/>
        <w:ind w:hanging="720" w:start="720" w:end="0"/>
        <w:rPr/>
      </w:pPr>
      <w:r>
        <w:rPr/>
        <w:t>Q36</w:t>
        <w:tab/>
        <w:t>Give us a basic outline of a typical trading day in the pool. How does it work?</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A36</w:t>
        <w:tab/>
        <w:t>XX  Perhaps best answered by someone else</w:t>
      </w:r>
    </w:p>
    <w:p>
      <w:pPr>
        <w:pStyle w:val="Normal"/>
        <w:rPr>
          <w:rFonts w:ascii="Arial" w:hAnsi="Arial" w:cs="Arial"/>
          <w:sz w:val="24"/>
        </w:rPr>
      </w:pPr>
      <w:r>
        <w:rPr>
          <w:rFonts w:cs="Arial" w:ascii="Arial" w:hAnsi="Arial"/>
          <w:sz w:val="24"/>
        </w:rPr>
      </w:r>
    </w:p>
    <w:p>
      <w:pPr>
        <w:pStyle w:val="BodyTextIndent"/>
        <w:rPr/>
      </w:pPr>
      <w:r>
        <w:rPr/>
        <w:t>Q37</w:t>
        <w:tab/>
        <w:t>How common is it for suppliers to the pool to communicate directly with one another in the course of a typical trading day, and why is this done?</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A37</w:t>
        <w:tab/>
        <w:t>XX Perhaps best answered by someone else</w:t>
      </w:r>
    </w:p>
    <w:p>
      <w:pPr>
        <w:pStyle w:val="Normal"/>
        <w:ind w:hanging="720" w:start="720" w:end="0"/>
        <w:rPr>
          <w:rFonts w:ascii="Arial" w:hAnsi="Arial" w:cs="Arial"/>
          <w:sz w:val="24"/>
        </w:rPr>
      </w:pPr>
      <w:r>
        <w:rPr>
          <w:rFonts w:cs="Arial" w:ascii="Arial" w:hAnsi="Arial"/>
          <w:sz w:val="24"/>
        </w:rPr>
      </w:r>
    </w:p>
    <w:p>
      <w:pPr>
        <w:pStyle w:val="BodyTextIndent"/>
        <w:rPr/>
      </w:pPr>
      <w:r>
        <w:rPr/>
        <w:t>Q38</w:t>
        <w:tab/>
        <w:t>Doesn’t the fact that there are still “bugs in the system” mean the interests of power consumers are at risk until these “bugs” get sorted out?</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A38</w:t>
        <w:tab/>
        <w:t>“Bugs in the system” are to be found in nearly all markets, for electricity or otherwise. Potential improvements may range from changes in the computer programs that help run the system to major market modifications like introducing day-ahead forwards markets. The fact that this potential exists by no means suggests that customers are somehow exposed or vulnerable until these improvements are made. Indeed, the gradual phasing-in of Pool prices into the consumer tariffs is an indication of the efforts made to protect consumer interests during the early years of the new framework.</w:t>
      </w:r>
    </w:p>
    <w:p>
      <w:pPr>
        <w:pStyle w:val="Normal"/>
        <w:ind w:hanging="720" w:start="720" w:end="0"/>
        <w:rPr>
          <w:rFonts w:ascii="Arial" w:hAnsi="Arial" w:cs="Arial"/>
          <w:sz w:val="24"/>
        </w:rPr>
      </w:pPr>
      <w:r>
        <w:rPr>
          <w:rFonts w:cs="Arial" w:ascii="Arial" w:hAnsi="Arial"/>
          <w:sz w:val="24"/>
        </w:rPr>
      </w:r>
    </w:p>
    <w:p>
      <w:pPr>
        <w:pStyle w:val="BodyTextIndent"/>
        <w:rPr/>
      </w:pPr>
      <w:r>
        <w:rPr/>
        <w:t>Q39</w:t>
        <w:tab/>
        <w:t>Why is this system better for consumers than the previous, more heavily regulated system?</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A39</w:t>
        <w:tab/>
        <w:t xml:space="preserve">The reasons for moving towards a less regulated system are the same ones used in other jurisdictions: lower regulatory burden, reliance on private investment without guaranteed returns, and a reliance competitive supply to keep prices low. </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b/>
          <w:sz w:val="24"/>
        </w:rPr>
      </w:pPr>
      <w:r>
        <w:rPr>
          <w:rFonts w:cs="Arial" w:ascii="Arial" w:hAnsi="Arial"/>
          <w:b/>
          <w:sz w:val="24"/>
        </w:rPr>
        <w:t>Q40</w:t>
        <w:tab/>
        <w:t>How many such pool arrangements are there in the world today?</w:t>
      </w:r>
    </w:p>
    <w:p>
      <w:pPr>
        <w:pStyle w:val="Normal"/>
        <w:ind w:hanging="720" w:start="720" w:end="0"/>
        <w:rPr>
          <w:rFonts w:ascii="Arial" w:hAnsi="Arial" w:cs="Arial"/>
          <w:b/>
          <w:sz w:val="24"/>
        </w:rPr>
      </w:pPr>
      <w:r>
        <w:rPr>
          <w:rFonts w:cs="Arial" w:ascii="Arial" w:hAnsi="Arial"/>
          <w:b/>
          <w:sz w:val="24"/>
        </w:rPr>
      </w:r>
    </w:p>
    <w:p>
      <w:pPr>
        <w:pStyle w:val="Normal"/>
        <w:ind w:hanging="720" w:start="720" w:end="0"/>
        <w:rPr>
          <w:rFonts w:ascii="Arial" w:hAnsi="Arial" w:cs="Arial"/>
          <w:sz w:val="24"/>
        </w:rPr>
      </w:pPr>
      <w:r>
        <w:rPr>
          <w:rFonts w:cs="Arial" w:ascii="Arial" w:hAnsi="Arial"/>
          <w:sz w:val="24"/>
        </w:rPr>
        <w:t>A40</w:t>
        <w:tab/>
        <w:t>There are easily a dozen or more power pool arrangements in place. The major ones have been England &amp; Wales, NordPool, the National Electricity Market (Australia), California, PJM, New York, and New England. There are several power pools in South America, the largest of which are in Colombia and Argentina. Several more electricity markets are under development, including ones in Texas and Ontario.</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b/>
          <w:sz w:val="24"/>
        </w:rPr>
      </w:pPr>
      <w:r>
        <w:rPr>
          <w:rFonts w:cs="Arial" w:ascii="Arial" w:hAnsi="Arial"/>
          <w:b/>
          <w:sz w:val="24"/>
        </w:rPr>
        <w:t>Q41</w:t>
        <w:tab/>
        <w:t>Which jurisdiction started the first electricity market of this kind?</w:t>
      </w:r>
    </w:p>
    <w:p>
      <w:pPr>
        <w:pStyle w:val="Normal"/>
        <w:ind w:hanging="720" w:start="720" w:end="0"/>
        <w:rPr>
          <w:rFonts w:ascii="Arial" w:hAnsi="Arial" w:cs="Arial"/>
          <w:b/>
          <w:sz w:val="24"/>
        </w:rPr>
      </w:pPr>
      <w:r>
        <w:rPr>
          <w:rFonts w:cs="Arial" w:ascii="Arial" w:hAnsi="Arial"/>
          <w:b/>
          <w:sz w:val="24"/>
        </w:rPr>
      </w:r>
    </w:p>
    <w:p>
      <w:pPr>
        <w:pStyle w:val="Normal"/>
        <w:ind w:hanging="720" w:start="720" w:end="0"/>
        <w:rPr>
          <w:rFonts w:ascii="Arial" w:hAnsi="Arial" w:cs="Arial"/>
          <w:sz w:val="24"/>
        </w:rPr>
      </w:pPr>
      <w:r>
        <w:rPr>
          <w:rFonts w:cs="Arial" w:ascii="Arial" w:hAnsi="Arial"/>
          <w:sz w:val="24"/>
        </w:rPr>
        <w:t>A41</w:t>
        <w:tab/>
        <w:t>England &amp; Wales was created in March 1990 in anticipation of the privatization of the electricity industry.</w:t>
      </w:r>
    </w:p>
    <w:p>
      <w:pPr>
        <w:pStyle w:val="Normal"/>
        <w:ind w:hanging="720" w:start="720" w:end="0"/>
        <w:rPr>
          <w:rFonts w:ascii="Arial" w:hAnsi="Arial" w:cs="Arial"/>
          <w:sz w:val="24"/>
        </w:rPr>
      </w:pPr>
      <w:r>
        <w:rPr>
          <w:rFonts w:cs="Arial" w:ascii="Arial" w:hAnsi="Arial"/>
          <w:sz w:val="24"/>
        </w:rPr>
      </w:r>
    </w:p>
    <w:p>
      <w:pPr>
        <w:pStyle w:val="BodyTextIndent"/>
        <w:rPr/>
      </w:pPr>
      <w:r>
        <w:rPr/>
        <w:t>Q42</w:t>
        <w:tab/>
        <w:t>Have other problems like this[market power concerns] been experienced in other jurisdictions? If so, where? And why couldn’t lessons learned in other jurisdictions be applied to the Alberta model to prevent market flaws like this?</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A42</w:t>
        <w:tab/>
        <w:t>Market power concerns are present in most major electricity markets. England &amp; Wales has long grappled with the problem of having concentrated generation ownership, and the deregulation of the major US markets has required utilities to divest themselves of generation assets. The nature of the problems in Alberta – that of very high peak prices – is a different issues, as it has less to do with the size of suppliers and more to do with an overall scarcity of capacity in certain periods. Some jurisdictions have moved to place a flat cap on peak prices, though this has generally been done with much reluctance, as most regulators realize that high peak prices are the best incentive for new investment.</w:t>
      </w:r>
    </w:p>
    <w:p>
      <w:pPr>
        <w:pStyle w:val="Normal"/>
        <w:ind w:hanging="720" w:start="720" w:end="0"/>
        <w:rPr>
          <w:rFonts w:ascii="Arial" w:hAnsi="Arial" w:cs="Arial"/>
          <w:sz w:val="24"/>
        </w:rPr>
      </w:pPr>
      <w:r>
        <w:rPr>
          <w:rFonts w:cs="Arial" w:ascii="Arial" w:hAnsi="Arial"/>
          <w:sz w:val="24"/>
        </w:rPr>
      </w:r>
    </w:p>
    <w:p>
      <w:pPr>
        <w:pStyle w:val="BodyTextIndent"/>
        <w:rPr/>
      </w:pPr>
      <w:r>
        <w:rPr/>
        <w:t>Q43</w:t>
        <w:tab/>
        <w:t>Why is it necessary to post electricity prices in the Alberta pool the previous day?</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A43</w:t>
        <w:tab/>
        <w:t>Most plant operators need to make operating decisions prior to the actual hour of operation – plants cannot be switched on and off instantly. The Pool assists participants by providing an indication of what it expects actual operation to be like. Plant operators can then take the necessary steps to ensure they are ready for when they expect to be needed. It is not strictly necessary to publish expected prices to achieve this, however.</w:t>
      </w:r>
    </w:p>
    <w:p>
      <w:pPr>
        <w:pStyle w:val="Normal"/>
        <w:ind w:hanging="720" w:start="720" w:end="0"/>
        <w:rPr>
          <w:rFonts w:ascii="Arial" w:hAnsi="Arial" w:cs="Arial"/>
          <w:sz w:val="24"/>
        </w:rPr>
      </w:pPr>
      <w:r>
        <w:rPr>
          <w:rFonts w:cs="Arial" w:ascii="Arial" w:hAnsi="Arial"/>
          <w:sz w:val="24"/>
        </w:rPr>
      </w:r>
    </w:p>
    <w:p>
      <w:pPr>
        <w:pStyle w:val="BodyTextIndent"/>
        <w:rPr/>
      </w:pPr>
      <w:r>
        <w:rPr/>
        <w:t>Q44</w:t>
        <w:tab/>
        <w:t>Why should it be possible to re-state electricity prices just minutes before that electricity is transmitted into the system?</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A44</w:t>
        <w:tab/>
        <w:t>No participant has the ability to re-state prices for their bids after the day-ahead submission deadline of 10:00 a.m. The only modifications which are allowed under the Pool rules is a re-declaration of quantity offered at that price. Pool rules aside, however, there can be instances where underlying costs change from day-ahead expectations (such as the price of gas moving significantly, say), or when alternative sales opportunities arise that are expected to be more profitable than selling into the Pool. This can be particularly true in markets with significant export or import capacity from neighboring markets, or where bilateral trading among participants is common.</w:t>
      </w:r>
    </w:p>
    <w:p>
      <w:pPr>
        <w:pStyle w:val="Normal"/>
        <w:ind w:hanging="720" w:start="720" w:end="0"/>
        <w:rPr>
          <w:rFonts w:ascii="Arial" w:hAnsi="Arial" w:cs="Arial"/>
          <w:sz w:val="24"/>
        </w:rPr>
      </w:pPr>
      <w:r>
        <w:rPr>
          <w:rFonts w:cs="Arial" w:ascii="Arial" w:hAnsi="Arial"/>
          <w:sz w:val="24"/>
        </w:rPr>
      </w:r>
    </w:p>
    <w:p>
      <w:pPr>
        <w:pStyle w:val="BodyTextIndent"/>
        <w:rPr/>
      </w:pPr>
      <w:r>
        <w:rPr/>
        <w:t>Q45</w:t>
        <w:tab/>
        <w:t>How does the role of a domestic supplier differ from that of an importer in a market like this?</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A45</w:t>
        <w:tab/>
        <w:t>Importers, by definition, are depriving another market of their electricity in order to sell it into the chosen destination market. Which market ultimately receives the electricity will depend on who needs it most, as reflected by their prices. Local generators do not typically face this question, as export capacity it often limited and expensive. An importer must not only identify the best market for its product, but must comply with multiple sets of rules from the various markets involved in the transaction. These markets are often not well coordinated. For example, the Alberta Pool may want bids submitted day-ahead, though the price for power in BC or in the Pacific Northwest will not be known until shortly before real time. If forced to make a binding offer day-ahead, an importer may simply face too much price risk by selling into the Alberta system, and will reasonably only enter the market at a higher price. The flexibility afforded importers in the Power Pool of Alberta rules is necessary if importers are to be attracted into the market.</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r>
    </w:p>
    <w:p>
      <w:pPr>
        <w:pStyle w:val="BodyTextIndent"/>
        <w:rPr/>
      </w:pPr>
      <w:r>
        <w:rPr/>
        <w:t>Q46</w:t>
        <w:tab/>
        <w:t>With all this in mind, what specific reforms should be made to the Alberta pool model to fix these problems?</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A46</w:t>
        <w:tab/>
        <w:t xml:space="preserve">The formation of a day-ahead forwards market is probably the single biggest improvement, and its development seems to be well underway. Some additional modifications to the Pool rules may also be useful, in particular reducing some of the information published by the Pool on bids, anticipated prices, or sensitivity of prices to changes in demand. This information is not really necessary for participants to make good operating decisions, and may inadvertently indicate a tight supply-demand condition that is easily exploited. </w:t>
      </w:r>
    </w:p>
    <w:p>
      <w:pPr>
        <w:pStyle w:val="Heading5"/>
        <w:ind w:hanging="0" w:start="0"/>
        <w:rPr>
          <w:rFonts w:ascii="Arial" w:hAnsi="Arial" w:cs="Arial"/>
          <w:sz w:val="24"/>
        </w:rPr>
      </w:pPr>
      <w:r>
        <w:rPr>
          <w:rFonts w:cs="Arial"/>
          <w:sz w:val="24"/>
        </w:rPr>
      </w:r>
    </w:p>
    <w:p>
      <w:pPr>
        <w:pStyle w:val="BodyTextIndent"/>
        <w:rPr/>
      </w:pPr>
      <w:r>
        <w:rPr/>
        <w:t>Q47</w:t>
        <w:tab/>
        <w:t>What markets in other jurisdiction have a bid process that works the way it is intended to? What makes it different from the Alberta model?</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A48</w:t>
        <w:tab/>
        <w:t>XX  Perhaps best answered by someone else.</w:t>
      </w:r>
    </w:p>
    <w:p>
      <w:pPr>
        <w:pStyle w:val="Normal"/>
        <w:rPr>
          <w:rFonts w:ascii="Arial" w:hAnsi="Arial" w:cs="Arial"/>
          <w:sz w:val="24"/>
        </w:rPr>
      </w:pPr>
      <w:r>
        <w:rPr>
          <w:rFonts w:cs="Arial" w:ascii="Arial" w:hAnsi="Arial"/>
          <w:sz w:val="24"/>
        </w:rPr>
      </w:r>
    </w:p>
    <w:p>
      <w:pPr>
        <w:pStyle w:val="Normal"/>
        <w:rPr/>
      </w:pPr>
      <w:r>
        <w:rPr/>
      </w:r>
    </w:p>
    <w:p>
      <w:pPr>
        <w:pStyle w:val="Heading5"/>
        <w:ind w:hanging="0" w:start="0"/>
        <w:rPr/>
      </w:pPr>
      <w:r>
        <w:rPr/>
        <w:t>V</w:t>
        <w:tab/>
        <w:t>Stanley’s Involvement in the Alberta Power Pool</w:t>
      </w:r>
    </w:p>
    <w:p>
      <w:pPr>
        <w:pStyle w:val="Normal"/>
        <w:rPr/>
      </w:pPr>
      <w:r>
        <w:rPr/>
      </w:r>
    </w:p>
    <w:p>
      <w:pPr>
        <w:pStyle w:val="Heading3"/>
        <w:ind w:hanging="0" w:start="0"/>
        <w:rPr/>
      </w:pPr>
      <w:r>
        <w:rPr/>
        <w:t>Q49</w:t>
        <w:tab/>
        <w:t>How long have you been a supplier in the Alberta power pool?</w:t>
      </w:r>
    </w:p>
    <w:p>
      <w:pPr>
        <w:pStyle w:val="Normal"/>
        <w:rPr>
          <w:rFonts w:ascii="Arial" w:hAnsi="Arial" w:cs="Arial"/>
          <w:sz w:val="24"/>
        </w:rPr>
      </w:pPr>
      <w:r>
        <w:rPr>
          <w:rFonts w:cs="Arial" w:ascii="Arial" w:hAnsi="Arial"/>
          <w:sz w:val="24"/>
        </w:rPr>
      </w:r>
    </w:p>
    <w:p>
      <w:pPr>
        <w:pStyle w:val="Normal"/>
        <w:spacing w:lineRule="atLeast" w:line="240"/>
        <w:ind w:hanging="720" w:start="720" w:end="0"/>
        <w:rPr/>
      </w:pPr>
      <w:r>
        <w:rPr>
          <w:rFonts w:cs="Arial" w:ascii="Arial" w:hAnsi="Arial"/>
          <w:sz w:val="24"/>
        </w:rPr>
        <w:t>A49</w:t>
        <w:tab/>
        <w:t>Stanley</w:t>
      </w:r>
      <w:r>
        <w:rPr>
          <w:rFonts w:cs="Helv" w:ascii="Helv" w:hAnsi="Helv"/>
          <w:color w:val="000000"/>
          <w:lang w:eastAsia="en-US"/>
        </w:rPr>
        <w:t xml:space="preserve"> has been a member of the Power Pool of Alberta since its inception on January 1, 1996.   Stanley's first sales into the Power Pool were made in 1997.</w:t>
      </w:r>
    </w:p>
    <w:p>
      <w:pPr>
        <w:pStyle w:val="Normal"/>
        <w:spacing w:lineRule="atLeast" w:line="240"/>
        <w:rPr>
          <w:rFonts w:ascii="Helv" w:hAnsi="Helv" w:cs="Helv"/>
          <w:color w:val="000000"/>
          <w:lang w:eastAsia="en-US"/>
        </w:rPr>
      </w:pPr>
      <w:r>
        <w:rPr>
          <w:rFonts w:cs="Helv" w:ascii="Helv" w:hAnsi="Helv"/>
          <w:color w:val="000000"/>
          <w:lang w:eastAsia="en-US"/>
        </w:rPr>
      </w:r>
    </w:p>
    <w:p>
      <w:pPr>
        <w:pStyle w:val="Heading3"/>
        <w:ind w:hanging="0" w:start="0"/>
        <w:rPr/>
      </w:pPr>
      <w:r>
        <w:rPr/>
        <w:t>Q50</w:t>
        <w:tab/>
        <w:t>How and why did you become involved?</w:t>
      </w:r>
    </w:p>
    <w:p>
      <w:pPr>
        <w:pStyle w:val="Normal"/>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A50</w:t>
        <w:tab/>
        <w:t>Stanley</w:t>
      </w:r>
      <w:r>
        <w:rPr>
          <w:rFonts w:cs="Helv" w:ascii="Helv" w:hAnsi="Helv"/>
          <w:color w:val="000000"/>
          <w:lang w:eastAsia="en-US"/>
        </w:rPr>
        <w:t xml:space="preserve"> was approved as a Pool Participant after it submitted the registration documents required by the Power Pool of Alberta and paid the registration fee.  Stanley chose to become a Pool Participant because a key part of Stanley's business is the purchase and sale of wholesale electricity.  In order to participate in the wholesale electricity market in Alberta it is necessary for Stanley to enroll as a participant in the Power Pool of Alberta.</w:t>
      </w:r>
    </w:p>
    <w:p>
      <w:pPr>
        <w:pStyle w:val="Normal"/>
        <w:rPr>
          <w:rFonts w:ascii="Arial" w:hAnsi="Arial" w:cs="Arial"/>
          <w:sz w:val="24"/>
        </w:rPr>
      </w:pPr>
      <w:r>
        <w:rPr>
          <w:rFonts w:cs="Arial" w:ascii="Arial" w:hAnsi="Arial"/>
          <w:sz w:val="24"/>
        </w:rPr>
      </w:r>
    </w:p>
    <w:p>
      <w:pPr>
        <w:pStyle w:val="BodyTextIndent"/>
        <w:rPr/>
      </w:pPr>
      <w:r>
        <w:rPr/>
        <w:t>Q52</w:t>
        <w:tab/>
        <w:t>Why is it beneficial for Stanley to be involved in the Alberta pool, given its relatively small size compared to some of your other markets, like California?</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A52</w:t>
        <w:tab/>
      </w:r>
      <w:r>
        <w:rPr>
          <w:rFonts w:cs="Helv" w:ascii="Helv" w:hAnsi="Helv"/>
          <w:color w:val="000000"/>
          <w:lang w:eastAsia="en-US"/>
        </w:rPr>
        <w:t>Affiliates of Stanley are active in many electricity markets around North America and the world.  Stanley is focused on business opportunities in Canada, including the wholesale electricity market in Alberta.</w:t>
      </w:r>
    </w:p>
    <w:p>
      <w:pPr>
        <w:pStyle w:val="Normal"/>
        <w:ind w:hanging="720" w:start="720" w:end="0"/>
        <w:rPr>
          <w:rFonts w:ascii="Arial" w:hAnsi="Arial" w:cs="Arial"/>
          <w:sz w:val="24"/>
        </w:rPr>
      </w:pPr>
      <w:r>
        <w:rPr>
          <w:rFonts w:cs="Arial" w:ascii="Arial" w:hAnsi="Arial"/>
          <w:sz w:val="24"/>
        </w:rPr>
      </w:r>
    </w:p>
    <w:p>
      <w:pPr>
        <w:pStyle w:val="BodyTextIndent"/>
        <w:rPr/>
      </w:pPr>
      <w:r>
        <w:rPr/>
        <w:t>Q53</w:t>
        <w:tab/>
        <w:t>How, specifically, were you involved in the design of the electricity market in Alberta?</w:t>
      </w:r>
    </w:p>
    <w:p>
      <w:pPr>
        <w:pStyle w:val="Normal"/>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A53</w:t>
        <w:tab/>
        <w:t>Stanley</w:t>
      </w:r>
      <w:r>
        <w:rPr>
          <w:rFonts w:cs="Helv" w:ascii="Helv" w:hAnsi="Helv"/>
          <w:color w:val="000000"/>
          <w:lang w:eastAsia="en-US"/>
        </w:rPr>
        <w:t xml:space="preserve"> was not involved in the development of the Electric Utilities Act, 1995 or the Electric Utilities Amendment Act, 1998.  After the Electric Utilities Amendment Act came into force in early 1998 Stanley began to provide input on electricity market design issues to the Government of Alberta, the Power Pool of Alberta, the Independent Assessment Team, and the Transmission Administrator.   Since early 1998 Stanley has provided input on issues such as: the Power Purchase Arrangement Regulations, the Power Purchase Arrangement Legal Form, Customer Choice Regulations, the Market Surveillance Regulation, the Direct Sales Regulation and transmission tariff design.</w:t>
      </w:r>
    </w:p>
    <w:p>
      <w:pPr>
        <w:pStyle w:val="Normal"/>
        <w:rPr>
          <w:rFonts w:ascii="Arial" w:hAnsi="Arial" w:cs="Arial"/>
          <w:sz w:val="24"/>
        </w:rPr>
      </w:pPr>
      <w:r>
        <w:rPr>
          <w:rFonts w:cs="Arial" w:ascii="Arial" w:hAnsi="Arial"/>
          <w:sz w:val="24"/>
        </w:rPr>
      </w:r>
    </w:p>
    <w:p>
      <w:pPr>
        <w:pStyle w:val="BodyTextIndent"/>
        <w:rPr/>
      </w:pPr>
      <w:r>
        <w:rPr/>
        <w:t>Q54</w:t>
        <w:tab/>
        <w:t>You have participated in other, more established markets of this kind. Based on that experience, could you not have anticipated a problem like this in Alberta?</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A54</w:t>
        <w:tab/>
        <w:t xml:space="preserve">Stanley </w:t>
      </w:r>
      <w:r>
        <w:rPr>
          <w:rFonts w:cs="Helv" w:ascii="Helv" w:hAnsi="Helv"/>
          <w:color w:val="000000"/>
          <w:lang w:eastAsia="en-US"/>
        </w:rPr>
        <w:t>operated and continues to operate in compliance with the rules of the Power Pool of Alberta and the Canadian competition laws.  For these reasons it is fair to say that we did not anticipate that we would be the subject of an investigation of this nature.</w:t>
      </w:r>
    </w:p>
    <w:p>
      <w:pPr>
        <w:pStyle w:val="Normal"/>
        <w:rPr>
          <w:rFonts w:ascii="Arial" w:hAnsi="Arial" w:cs="Arial"/>
          <w:sz w:val="24"/>
        </w:rPr>
      </w:pPr>
      <w:r>
        <w:rPr>
          <w:rFonts w:cs="Arial" w:ascii="Arial" w:hAnsi="Arial"/>
          <w:sz w:val="24"/>
        </w:rPr>
      </w:r>
    </w:p>
    <w:p>
      <w:pPr>
        <w:pStyle w:val="BodyTextIndent"/>
        <w:rPr/>
      </w:pPr>
      <w:r>
        <w:rPr/>
        <w:t>Q55</w:t>
        <w:tab/>
        <w:t>Surely you are a big enough industry player to be able to do without this market. If you are dissatisfied with the design of the Alberta pool, why not just withdraw from it?</w:t>
      </w:r>
    </w:p>
    <w:p>
      <w:pPr>
        <w:pStyle w:val="Normal"/>
        <w:ind w:hanging="720" w:start="720" w:end="0"/>
        <w:rPr>
          <w:rFonts w:ascii="Arial" w:hAnsi="Arial" w:cs="Arial"/>
          <w:sz w:val="24"/>
        </w:rPr>
      </w:pPr>
      <w:r>
        <w:rPr>
          <w:rFonts w:cs="Arial" w:ascii="Arial" w:hAnsi="Arial"/>
          <w:sz w:val="24"/>
        </w:rPr>
      </w:r>
    </w:p>
    <w:p>
      <w:pPr>
        <w:pStyle w:val="Normal"/>
        <w:spacing w:lineRule="atLeast" w:line="240"/>
        <w:ind w:hanging="720" w:start="720" w:end="0"/>
        <w:rPr/>
      </w:pPr>
      <w:r>
        <w:rPr>
          <w:rFonts w:cs="Arial" w:ascii="Arial" w:hAnsi="Arial"/>
          <w:sz w:val="24"/>
        </w:rPr>
        <w:t>A55</w:t>
        <w:tab/>
      </w:r>
      <w:r>
        <w:rPr>
          <w:rFonts w:cs="Helv" w:ascii="Helv" w:hAnsi="Helv"/>
          <w:color w:val="000000"/>
          <w:lang w:eastAsia="en-US"/>
        </w:rPr>
        <w:t xml:space="preserve">(Note: I'm not comfortable with the proposition upon which this question is based.  Have we said we are "dissatisfied with the design of the Alberta Pool"?  I think the most we have said in the Q &amp; A is: "The Power Pool was in 1999 and is still today very much in transition.   Transitional markets can be difficult to figure out and can sometimes be risky for participants."  We don't want to imply that the Alberta Power Pool is the problem here as the allegation is bid rigging and our position is that we did not engage in bid rigging. </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ind w:start="720" w:end="0"/>
        <w:rPr>
          <w:rFonts w:ascii="Helv" w:hAnsi="Helv" w:cs="Helv"/>
          <w:color w:val="000000"/>
          <w:lang w:eastAsia="en-US"/>
        </w:rPr>
      </w:pPr>
      <w:r>
        <w:rPr>
          <w:rFonts w:cs="Helv" w:ascii="Helv" w:hAnsi="Helv"/>
          <w:color w:val="000000"/>
          <w:lang w:eastAsia="en-US"/>
        </w:rPr>
        <w:t xml:space="preserve">Stanley, as with the other Stanley operating companies, is committed to the development of a competitive power market in the jurisdictions in which it operates, including jurisdictions such as Alberta that have implemented a pool-based market design.  Stanley is committed to continue to actively participate in the Alberta electricity market and intends to continue to work with the Government of Alberta and the Power Pool of Alberta on design enhancements that will improve upon the existing Power Pool design.  </w:t>
      </w:r>
    </w:p>
    <w:p>
      <w:pPr>
        <w:pStyle w:val="Normal"/>
        <w:ind w:hanging="720" w:start="720" w:end="0"/>
        <w:rPr>
          <w:rFonts w:ascii="Arial" w:hAnsi="Arial" w:cs="Arial"/>
          <w:color w:val="000000"/>
          <w:sz w:val="24"/>
          <w:lang w:eastAsia="en-US"/>
        </w:rPr>
      </w:pPr>
      <w:r>
        <w:rPr>
          <w:rFonts w:cs="Arial" w:ascii="Arial" w:hAnsi="Arial"/>
          <w:color w:val="000000"/>
          <w:sz w:val="24"/>
          <w:lang w:eastAsia="en-US"/>
        </w:rPr>
      </w:r>
    </w:p>
    <w:p>
      <w:pPr>
        <w:pStyle w:val="BodyTextIndent"/>
        <w:rPr/>
      </w:pPr>
      <w:r>
        <w:rPr/>
        <w:t>Q56</w:t>
        <w:tab/>
        <w:t>In view of this experience, what specific reforms would you want to see enacted in the Alberta pool model?</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A56</w:t>
        <w:tab/>
        <w:t>Stanley</w:t>
      </w:r>
      <w:r>
        <w:rPr>
          <w:rFonts w:cs="Helv" w:ascii="Helv" w:hAnsi="Helv"/>
          <w:color w:val="000000"/>
          <w:lang w:eastAsia="en-US"/>
        </w:rPr>
        <w:t xml:space="preserve"> has not suggested that this experience is a function of any specific defect in the Power Pool rules or design.  Therefore we do not expect this experience in itself will prompt Stanley to advocate for any specific reforms to the existing Power Pool design.</w:t>
      </w:r>
    </w:p>
    <w:p>
      <w:pPr>
        <w:pStyle w:val="Normal"/>
        <w:rPr>
          <w:rFonts w:ascii="Arial" w:hAnsi="Arial" w:cs="Arial"/>
          <w:sz w:val="24"/>
        </w:rPr>
      </w:pPr>
      <w:r>
        <w:rPr>
          <w:rFonts w:cs="Arial" w:ascii="Arial" w:hAnsi="Arial"/>
          <w:sz w:val="24"/>
        </w:rPr>
      </w:r>
    </w:p>
    <w:p>
      <w:pPr>
        <w:pStyle w:val="BodyTextIndent"/>
        <w:rPr/>
      </w:pPr>
      <w:r>
        <w:rPr/>
        <w:t>Q57</w:t>
        <w:tab/>
        <w:t>You are also involved in the design of Ontario’s deregulating electricity market, which will be much bigger than Alberta’s. How will this experience impact on that involvement, and on the design of their market system?</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A57</w:t>
        <w:tab/>
      </w:r>
      <w:r>
        <w:rPr>
          <w:rFonts w:cs="Helv" w:ascii="Helv" w:hAnsi="Helv"/>
          <w:color w:val="000000"/>
          <w:lang w:eastAsia="en-US"/>
        </w:rPr>
        <w:t>Stanley is actively pursuing commercial opportunities in Ontario; the "experience" will not impact our involvement in the Ontario market.  However, we cannot speak for those responsible for the Ontario market system and in our view the 'experience" will not impact the design of the Ontario market system</w:t>
        <w:tab/>
        <w:tab/>
        <w:tab/>
        <w:tab/>
        <w:tab/>
        <w:tab/>
        <w:tab/>
        <w:tab/>
        <w:tab/>
        <w:tab/>
        <w:tab/>
        <w:tab/>
        <w:tab/>
        <w:tab/>
        <w:tab/>
      </w:r>
    </w:p>
    <w:p>
      <w:pPr>
        <w:pStyle w:val="BodyTextIndent"/>
        <w:rPr/>
      </w:pPr>
      <w:r>
        <w:rPr/>
        <w:t>Q58</w:t>
        <w:tab/>
        <w:t>What is your message to Ontario regulators and consumers, to assure them that this kind of experience won’t happen in that market?</w:t>
      </w:r>
    </w:p>
    <w:p>
      <w:pPr>
        <w:pStyle w:val="Normal"/>
        <w:ind w:hanging="720" w:start="720" w:end="0"/>
        <w:rPr>
          <w:rFonts w:ascii="Arial" w:hAnsi="Arial" w:cs="Arial"/>
          <w:sz w:val="24"/>
        </w:rPr>
      </w:pPr>
      <w:r>
        <w:rPr>
          <w:rFonts w:cs="Arial" w:ascii="Arial" w:hAnsi="Arial"/>
          <w:sz w:val="24"/>
        </w:rPr>
      </w:r>
    </w:p>
    <w:p>
      <w:pPr>
        <w:pStyle w:val="Normal"/>
        <w:ind w:hanging="720" w:start="720" w:end="0"/>
        <w:rPr/>
      </w:pPr>
      <w:r>
        <w:rPr>
          <w:rFonts w:cs="Arial" w:ascii="Arial" w:hAnsi="Arial"/>
          <w:sz w:val="24"/>
        </w:rPr>
        <w:t>A58</w:t>
        <w:tab/>
      </w:r>
      <w:r>
        <w:rPr>
          <w:rFonts w:cs="Helv" w:ascii="Helv" w:hAnsi="Helv"/>
          <w:color w:val="000000"/>
          <w:lang w:eastAsia="en-US"/>
        </w:rPr>
        <w:t>Stanley has been a supporter of the move to competitive power markets in Alberta, Ontario and elsewhere and is committed to complying with the rules governing participation in such markets.</w:t>
      </w:r>
    </w:p>
    <w:p>
      <w:pPr>
        <w:pStyle w:val="Normal"/>
        <w:ind w:hanging="720" w:start="720" w:end="0"/>
        <w:rPr>
          <w:rFonts w:ascii="Arial" w:hAnsi="Arial" w:cs="Arial"/>
          <w:color w:val="000000"/>
          <w:sz w:val="24"/>
          <w:lang w:eastAsia="en-US"/>
        </w:rPr>
      </w:pPr>
      <w:r>
        <w:rPr>
          <w:rFonts w:cs="Arial" w:ascii="Arial" w:hAnsi="Arial"/>
          <w:color w:val="000000"/>
          <w:sz w:val="24"/>
          <w:lang w:eastAsia="en-US"/>
        </w:rPr>
      </w:r>
    </w:p>
    <w:p>
      <w:pPr>
        <w:pStyle w:val="Normal"/>
        <w:ind w:start="720" w:end="0"/>
        <w:rPr>
          <w:rFonts w:ascii="Helv" w:hAnsi="Helv" w:cs="Helv"/>
          <w:color w:val="000000"/>
          <w:lang w:eastAsia="en-US"/>
        </w:rPr>
      </w:pPr>
      <w:r>
        <w:rPr>
          <w:rFonts w:cs="Helv" w:ascii="Helv" w:hAnsi="Helv"/>
          <w:color w:val="000000"/>
          <w:lang w:eastAsia="en-US"/>
        </w:rPr>
        <w:t>Stanley operated and continues to operate in compliance with the rules of the Power Pool of Alberta and the Canadian competition laws.  There should be absolutely no doubt about Stanley's  compliance and intent to comply with the applicable rules in Ontario.</w:t>
      </w:r>
    </w:p>
    <w:sectPr>
      <w:headerReference w:type="default" r:id="rId2"/>
      <w:headerReference w:type="first" r:id="rId3"/>
      <w:footerReference w:type="default" r:id="rId4"/>
      <w:footerReference w:type="first" r:id="rId5"/>
      <w:type w:val="nextPage"/>
      <w:pgSz w:w="12240" w:h="15840"/>
      <w:pgMar w:left="2880" w:right="720" w:gutter="0" w:header="2520" w:top="3240" w:footer="108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Privileged &amp; Confidential</w:t>
    </w:r>
  </w:p>
  <w:p>
    <w:pPr>
      <w:pStyle w:val="Footer"/>
      <w:rPr/>
    </w:pPr>
    <w:r>
      <w:rPr/>
      <w:t>For Legal Counsel Use Only</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Privileged &amp; Confidential</w:t>
    </w:r>
  </w:p>
  <w:p>
    <w:pPr>
      <w:pStyle w:val="Footer"/>
      <w:rPr/>
    </w:pPr>
    <w:r>
      <w:rPr/>
      <w:t>For Legal Counsel Use Only</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r>
    <w:r>
      <mc:AlternateContent>
        <mc:Choice Requires="wps">
          <w:drawing>
            <wp:anchor behindDoc="0" distT="0" distB="0" distL="0" distR="0" simplePos="0" locked="0" layoutInCell="0" allowOverlap="1" relativeHeight="19">
              <wp:simplePos x="0" y="0"/>
              <wp:positionH relativeFrom="page">
                <wp:posOffset>1829435</wp:posOffset>
              </wp:positionH>
              <wp:positionV relativeFrom="page">
                <wp:posOffset>788035</wp:posOffset>
              </wp:positionV>
              <wp:extent cx="2469515" cy="127000"/>
              <wp:effectExtent l="0" t="0" r="0" b="0"/>
              <wp:wrapSquare wrapText="bothSides"/>
              <wp:docPr id="1" name="Frame5"/>
              <a:graphic xmlns:a="http://schemas.openxmlformats.org/drawingml/2006/main">
                <a:graphicData uri="http://schemas.microsoft.com/office/word/2010/wordprocessingShape">
                  <wps:wsp>
                    <wps:cNvSpPr txBox="1"/>
                    <wps:spPr>
                      <a:xfrm>
                        <a:off x="0" y="0"/>
                        <a:ext cx="2469515" cy="127000"/>
                      </a:xfrm>
                      <a:prstGeom prst="rect"/>
                      <a:solidFill>
                        <a:srgbClr val="FFFFFF">
                          <a:alpha val="0"/>
                        </a:srgbClr>
                      </a:solidFill>
                    </wps:spPr>
                    <wps:txbx>
                      <w:txbxContent>
                        <w:p>
                          <w:pPr>
                            <w:pStyle w:val="Normal"/>
                            <w:spacing w:lineRule="exact" w:line="200"/>
                            <w:rPr>
                              <w:rFonts w:ascii="Arial Black" w:hAnsi="Arial Black" w:cs="Arial Black"/>
                              <w:sz w:val="20"/>
                            </w:rPr>
                          </w:pPr>
                          <w:r>
                            <w:rPr>
                              <w:rFonts w:cs="Arial Black" w:ascii="Arial Black" w:hAnsi="Arial Black"/>
                              <w:sz w:val="20"/>
                            </w:rPr>
                            <w:t>GPC Canada</w:t>
                          </w:r>
                        </w:p>
                      </w:txbxContent>
                    </wps:txbx>
                    <wps:bodyPr anchor="t" lIns="0" tIns="0" rIns="0" bIns="0">
                      <a:noAutofit/>
                    </wps:bodyPr>
                  </wps:wsp>
                </a:graphicData>
              </a:graphic>
            </wp:anchor>
          </w:drawing>
        </mc:Choice>
        <mc:Fallback>
          <w:pict>
            <v:rect fillcolor="#FFFFFF" style="position:absolute;rotation:-0;width:194.45pt;height:10pt;mso-wrap-distance-left:0pt;mso-wrap-distance-right:0pt;mso-wrap-distance-top:0pt;mso-wrap-distance-bottom:0pt;margin-top:62.05pt;mso-position-vertical-relative:page;margin-left:144.05pt;mso-position-horizontal-relative:page">
              <v:fill opacity="0f"/>
              <v:textbox inset="0in,0in,0in,0in">
                <w:txbxContent>
                  <w:p>
                    <w:pPr>
                      <w:pStyle w:val="Normal"/>
                      <w:spacing w:lineRule="exact" w:line="200"/>
                      <w:rPr>
                        <w:rFonts w:ascii="Arial Black" w:hAnsi="Arial Black" w:cs="Arial Black"/>
                        <w:sz w:val="20"/>
                      </w:rPr>
                    </w:pPr>
                    <w:r>
                      <w:rPr>
                        <w:rFonts w:cs="Arial Black" w:ascii="Arial Black" w:hAnsi="Arial Black"/>
                        <w:sz w:val="20"/>
                      </w:rPr>
                      <w:t>GPC Canada</w:t>
                    </w:r>
                  </w:p>
                </w:txbxContent>
              </v:textbox>
              <w10:wrap type="square"/>
            </v:rect>
          </w:pict>
        </mc:Fallback>
      </mc:AlternateContent>
    </w:r>
    <w:r>
      <mc:AlternateContent>
        <mc:Choice Requires="wps">
          <w:drawing>
            <wp:anchor behindDoc="1" distT="0" distB="0" distL="114935" distR="114935" simplePos="0" locked="0" layoutInCell="0" allowOverlap="1" relativeHeight="33">
              <wp:simplePos x="0" y="0"/>
              <wp:positionH relativeFrom="page">
                <wp:posOffset>6629400</wp:posOffset>
              </wp:positionH>
              <wp:positionV relativeFrom="page">
                <wp:posOffset>786130</wp:posOffset>
              </wp:positionV>
              <wp:extent cx="457200" cy="228600"/>
              <wp:effectExtent l="0" t="0" r="0" b="0"/>
              <wp:wrapNone/>
              <wp:docPr id="2" name="Frame6"/>
              <a:graphic xmlns:a="http://schemas.openxmlformats.org/drawingml/2006/main">
                <a:graphicData uri="http://schemas.microsoft.com/office/word/2010/wordprocessingShape">
                  <wps:wsp>
                    <wps:cNvSpPr txBox="1"/>
                    <wps:spPr>
                      <a:xfrm>
                        <a:off x="0" y="0"/>
                        <a:ext cx="457200" cy="228600"/>
                      </a:xfrm>
                      <a:prstGeom prst="rect"/>
                      <a:solidFill>
                        <a:srgbClr val="FFFFFF">
                          <a:alpha val="0"/>
                        </a:srgbClr>
                      </a:solidFill>
                    </wps:spPr>
                    <wps:txbx>
                      <w:txbxContent>
                        <w:p>
                          <w:pPr>
                            <w:pStyle w:val="Normal"/>
                            <w:spacing w:lineRule="exact" w:line="260"/>
                            <w:jc w:val="end"/>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36pt;height:18pt;mso-wrap-distance-left:9.05pt;mso-wrap-distance-right:9.05pt;mso-wrap-distance-top:0pt;mso-wrap-distance-bottom:0pt;margin-top:61.9pt;mso-position-vertical-relative:page;margin-left:522pt;mso-position-horizontal-relative:page">
              <v:fill opacity="0f"/>
              <v:textbox inset="0.000694444444444445in,0.000694444444444445in,0.000694444444444445in,0.000694444444444445in">
                <w:txbxContent>
                  <w:p>
                    <w:pPr>
                      <w:pStyle w:val="Normal"/>
                      <w:spacing w:lineRule="exact" w:line="260"/>
                      <w:jc w:val="end"/>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sz w:val="48"/>
      </w:rPr>
      <w:t>Memorandum</w:t>
    </w:r>
    <w:r>
      <w:rPr>
        <w:b/>
        <w:sz w:val="48"/>
        <w:lang w:val="en-CA"/>
      </w:rPr>
      <w:drawing>
        <wp:anchor behindDoc="0" distT="0" distB="0" distL="114935" distR="114935" simplePos="0" locked="0" layoutInCell="0" allowOverlap="1" relativeHeight="34">
          <wp:simplePos x="0" y="0"/>
          <wp:positionH relativeFrom="column">
            <wp:posOffset>-1188720</wp:posOffset>
          </wp:positionH>
          <wp:positionV relativeFrom="paragraph">
            <wp:posOffset>-1051560</wp:posOffset>
          </wp:positionV>
          <wp:extent cx="731520" cy="590550"/>
          <wp:effectExtent l="0" t="0" r="0" b="0"/>
          <wp:wrapTopAndBottom/>
          <wp:docPr id="3" name="GPC%20GREE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PC%20GREEN" descr="" title=""/>
                  <pic:cNvPicPr>
                    <a:picLocks noChangeAspect="1" noChangeArrowheads="1"/>
                  </pic:cNvPicPr>
                </pic:nvPicPr>
                <pic:blipFill>
                  <a:blip r:embed="rId1"/>
                  <a:srcRect l="-10" t="-13" r="-10" b="-13"/>
                  <a:stretch>
                    <a:fillRect/>
                  </a:stretch>
                </pic:blipFill>
                <pic:spPr bwMode="auto">
                  <a:xfrm>
                    <a:off x="0" y="0"/>
                    <a:ext cx="731520" cy="590550"/>
                  </a:xfrm>
                  <a:prstGeom prst="rect">
                    <a:avLst/>
                  </a:prstGeom>
                  <a:noFill/>
                </pic:spPr>
              </pic:pic>
            </a:graphicData>
          </a:graphic>
        </wp:anchor>
      </w:drawing>
    </w:r>
    <w:r>
      <w:rPr>
        <w:b/>
        <w:sz w:val="48"/>
        <w:lang w:val="en-CA"/>
      </w:rPr>
      <w:t xml:space="preserve"> </w:t>
    </w:r>
    <w:r>
      <mc:AlternateContent>
        <mc:Choice Requires="wps">
          <w:drawing>
            <wp:anchor behindDoc="0" distT="0" distB="0" distL="0" distR="0" simplePos="0" locked="0" layoutInCell="0" allowOverlap="1" relativeHeight="2">
              <wp:simplePos x="0" y="0"/>
              <wp:positionH relativeFrom="page">
                <wp:posOffset>1829435</wp:posOffset>
              </wp:positionH>
              <wp:positionV relativeFrom="page">
                <wp:posOffset>788035</wp:posOffset>
              </wp:positionV>
              <wp:extent cx="2469515" cy="127000"/>
              <wp:effectExtent l="0" t="0" r="0" b="0"/>
              <wp:wrapSquare wrapText="bothSides"/>
              <wp:docPr id="4" name="Frame1"/>
              <a:graphic xmlns:a="http://schemas.openxmlformats.org/drawingml/2006/main">
                <a:graphicData uri="http://schemas.microsoft.com/office/word/2010/wordprocessingShape">
                  <wps:wsp>
                    <wps:cNvSpPr txBox="1"/>
                    <wps:spPr>
                      <a:xfrm>
                        <a:off x="0" y="0"/>
                        <a:ext cx="2469515" cy="127000"/>
                      </a:xfrm>
                      <a:prstGeom prst="rect"/>
                      <a:solidFill>
                        <a:srgbClr val="FFFFFF">
                          <a:alpha val="0"/>
                        </a:srgbClr>
                      </a:solidFill>
                    </wps:spPr>
                    <wps:txbx>
                      <w:txbxContent>
                        <w:p>
                          <w:pPr>
                            <w:pStyle w:val="Normal"/>
                            <w:spacing w:lineRule="exact" w:line="200"/>
                            <w:rPr>
                              <w:rFonts w:ascii="Arial Black" w:hAnsi="Arial Black" w:cs="Arial Black"/>
                              <w:sz w:val="20"/>
                            </w:rPr>
                          </w:pPr>
                          <w:r>
                            <w:rPr>
                              <w:rFonts w:cs="Arial Black" w:ascii="Arial Black" w:hAnsi="Arial Black"/>
                              <w:sz w:val="20"/>
                            </w:rPr>
                            <w:t>GPC Canada</w:t>
                          </w:r>
                        </w:p>
                      </w:txbxContent>
                    </wps:txbx>
                    <wps:bodyPr anchor="t" lIns="0" tIns="0" rIns="0" bIns="0">
                      <a:noAutofit/>
                    </wps:bodyPr>
                  </wps:wsp>
                </a:graphicData>
              </a:graphic>
            </wp:anchor>
          </w:drawing>
        </mc:Choice>
        <mc:Fallback>
          <w:pict>
            <v:rect fillcolor="#FFFFFF" style="position:absolute;rotation:-0;width:194.45pt;height:10pt;mso-wrap-distance-left:0pt;mso-wrap-distance-right:0pt;mso-wrap-distance-top:0pt;mso-wrap-distance-bottom:0pt;margin-top:62.05pt;mso-position-vertical-relative:page;margin-left:144.05pt;mso-position-horizontal-relative:page">
              <v:fill opacity="0f"/>
              <v:textbox inset="0in,0in,0in,0in">
                <w:txbxContent>
                  <w:p>
                    <w:pPr>
                      <w:pStyle w:val="Normal"/>
                      <w:spacing w:lineRule="exact" w:line="200"/>
                      <w:rPr>
                        <w:rFonts w:ascii="Arial Black" w:hAnsi="Arial Black" w:cs="Arial Black"/>
                        <w:sz w:val="20"/>
                      </w:rPr>
                    </w:pPr>
                    <w:r>
                      <w:rPr>
                        <w:rFonts w:cs="Arial Black" w:ascii="Arial Black" w:hAnsi="Arial Black"/>
                        <w:sz w:val="20"/>
                      </w:rPr>
                      <w:t>GPC Canada</w:t>
                    </w:r>
                  </w:p>
                </w:txbxContent>
              </v:textbox>
              <w10:wrap type="square"/>
            </v:rect>
          </w:pict>
        </mc:Fallback>
      </mc:AlternateContent>
    </w:r>
    <w:r>
      <mc:AlternateContent>
        <mc:Choice Requires="wps">
          <w:drawing>
            <wp:anchor behindDoc="0" distT="118745" distB="118745" distL="118745" distR="118745" simplePos="0" locked="0" layoutInCell="0" allowOverlap="1" relativeHeight="3">
              <wp:simplePos x="0" y="0"/>
              <wp:positionH relativeFrom="page">
                <wp:posOffset>4874260</wp:posOffset>
              </wp:positionH>
              <wp:positionV relativeFrom="page">
                <wp:posOffset>786765</wp:posOffset>
              </wp:positionV>
              <wp:extent cx="1261745" cy="508000"/>
              <wp:effectExtent l="0" t="0" r="0" b="0"/>
              <wp:wrapSquare wrapText="bothSides"/>
              <wp:docPr id="5" name="Frame2"/>
              <a:graphic xmlns:a="http://schemas.openxmlformats.org/drawingml/2006/main">
                <a:graphicData uri="http://schemas.microsoft.com/office/word/2010/wordprocessingShape">
                  <wps:wsp>
                    <wps:cNvSpPr txBox="1"/>
                    <wps:spPr>
                      <a:xfrm>
                        <a:off x="0" y="0"/>
                        <a:ext cx="1261745" cy="508000"/>
                      </a:xfrm>
                      <a:prstGeom prst="rect"/>
                      <a:solidFill>
                        <a:srgbClr val="FFFFFF">
                          <a:alpha val="0"/>
                        </a:srgbClr>
                      </a:solidFill>
                    </wps:spPr>
                    <wps:txbx>
                      <w:txbxContent>
                        <w:p>
                          <w:pPr>
                            <w:pStyle w:val="Normal"/>
                            <w:spacing w:lineRule="exact" w:line="200"/>
                            <w:rPr>
                              <w:sz w:val="18"/>
                            </w:rPr>
                          </w:pPr>
                          <w:r>
                            <w:rPr>
                              <w:sz w:val="18"/>
                            </w:rPr>
                            <w:t>200 King Street West</w:t>
                          </w:r>
                        </w:p>
                        <w:p>
                          <w:pPr>
                            <w:pStyle w:val="Normal"/>
                            <w:spacing w:lineRule="exact" w:line="200"/>
                            <w:rPr>
                              <w:sz w:val="18"/>
                            </w:rPr>
                          </w:pPr>
                          <w:r>
                            <w:rPr>
                              <w:sz w:val="18"/>
                            </w:rPr>
                            <w:t>Suite 1702, Box 21</w:t>
                          </w:r>
                        </w:p>
                        <w:p>
                          <w:pPr>
                            <w:pStyle w:val="Normal"/>
                            <w:spacing w:lineRule="exact" w:line="200"/>
                            <w:rPr>
                              <w:sz w:val="18"/>
                            </w:rPr>
                          </w:pPr>
                          <w:r>
                            <w:rPr>
                              <w:sz w:val="18"/>
                            </w:rPr>
                            <w:t>Toronto</w:t>
                          </w:r>
                        </w:p>
                        <w:p>
                          <w:pPr>
                            <w:pStyle w:val="Normal"/>
                            <w:spacing w:lineRule="exact" w:line="200"/>
                            <w:rPr>
                              <w:sz w:val="18"/>
                            </w:rPr>
                          </w:pPr>
                          <w:r>
                            <w:rPr>
                              <w:sz w:val="18"/>
                            </w:rPr>
                            <w:t>Canada  M5H 3T4</w:t>
                          </w:r>
                        </w:p>
                      </w:txbxContent>
                    </wps:txbx>
                    <wps:bodyPr anchor="t" lIns="0" tIns="0" rIns="0" bIns="0">
                      <a:noAutofit/>
                    </wps:bodyPr>
                  </wps:wsp>
                </a:graphicData>
              </a:graphic>
            </wp:anchor>
          </w:drawing>
        </mc:Choice>
        <mc:Fallback>
          <w:pict>
            <v:rect fillcolor="#FFFFFF" style="position:absolute;rotation:-0;width:99.35pt;height:40pt;mso-wrap-distance-left:9.35pt;mso-wrap-distance-right:9.35pt;mso-wrap-distance-top:9.35pt;mso-wrap-distance-bottom:9.35pt;margin-top:61.95pt;mso-position-vertical-relative:page;margin-left:383.8pt;mso-position-horizontal-relative:page">
              <v:fill opacity="0f"/>
              <v:textbox inset="0in,0in,0in,0in">
                <w:txbxContent>
                  <w:p>
                    <w:pPr>
                      <w:pStyle w:val="Normal"/>
                      <w:spacing w:lineRule="exact" w:line="200"/>
                      <w:rPr>
                        <w:sz w:val="18"/>
                      </w:rPr>
                    </w:pPr>
                    <w:r>
                      <w:rPr>
                        <w:sz w:val="18"/>
                      </w:rPr>
                      <w:t>200 King Street West</w:t>
                    </w:r>
                  </w:p>
                  <w:p>
                    <w:pPr>
                      <w:pStyle w:val="Normal"/>
                      <w:spacing w:lineRule="exact" w:line="200"/>
                      <w:rPr>
                        <w:sz w:val="18"/>
                      </w:rPr>
                    </w:pPr>
                    <w:r>
                      <w:rPr>
                        <w:sz w:val="18"/>
                      </w:rPr>
                      <w:t>Suite 1702, Box 21</w:t>
                    </w:r>
                  </w:p>
                  <w:p>
                    <w:pPr>
                      <w:pStyle w:val="Normal"/>
                      <w:spacing w:lineRule="exact" w:line="200"/>
                      <w:rPr>
                        <w:sz w:val="18"/>
                      </w:rPr>
                    </w:pPr>
                    <w:r>
                      <w:rPr>
                        <w:sz w:val="18"/>
                      </w:rPr>
                      <w:t>Toronto</w:t>
                    </w:r>
                  </w:p>
                  <w:p>
                    <w:pPr>
                      <w:pStyle w:val="Normal"/>
                      <w:spacing w:lineRule="exact" w:line="200"/>
                      <w:rPr>
                        <w:sz w:val="18"/>
                      </w:rPr>
                    </w:pPr>
                    <w:r>
                      <w:rPr>
                        <w:sz w:val="18"/>
                      </w:rPr>
                      <w:t>Canada  M5H 3T4</w:t>
                    </w:r>
                  </w:p>
                </w:txbxContent>
              </v:textbox>
              <w10:wrap type="square"/>
            </v:rect>
          </w:pict>
        </mc:Fallback>
      </mc:AlternateContent>
    </w:r>
    <w:r>
      <mc:AlternateContent>
        <mc:Choice Requires="wps">
          <w:drawing>
            <wp:anchor behindDoc="0" distT="118745" distB="118745" distL="118745" distR="118745" simplePos="0" locked="0" layoutInCell="0" allowOverlap="1" relativeHeight="4">
              <wp:simplePos x="0" y="0"/>
              <wp:positionH relativeFrom="page">
                <wp:posOffset>6127115</wp:posOffset>
              </wp:positionH>
              <wp:positionV relativeFrom="page">
                <wp:posOffset>786765</wp:posOffset>
              </wp:positionV>
              <wp:extent cx="1362710" cy="381000"/>
              <wp:effectExtent l="0" t="0" r="0" b="0"/>
              <wp:wrapSquare wrapText="bothSides"/>
              <wp:docPr id="6" name="Frame3"/>
              <a:graphic xmlns:a="http://schemas.openxmlformats.org/drawingml/2006/main">
                <a:graphicData uri="http://schemas.microsoft.com/office/word/2010/wordprocessingShape">
                  <wps:wsp>
                    <wps:cNvSpPr txBox="1"/>
                    <wps:spPr>
                      <a:xfrm>
                        <a:off x="0" y="0"/>
                        <a:ext cx="1362710" cy="381000"/>
                      </a:xfrm>
                      <a:prstGeom prst="rect"/>
                      <a:solidFill>
                        <a:srgbClr val="FFFFFF">
                          <a:alpha val="0"/>
                        </a:srgbClr>
                      </a:solidFill>
                    </wps:spPr>
                    <wps:txbx>
                      <w:txbxContent>
                        <w:p>
                          <w:pPr>
                            <w:pStyle w:val="Normal"/>
                            <w:spacing w:lineRule="exact" w:line="200"/>
                            <w:rPr>
                              <w:sz w:val="18"/>
                            </w:rPr>
                          </w:pPr>
                          <w:r>
                            <w:rPr>
                              <w:sz w:val="18"/>
                            </w:rPr>
                            <w:t>Tel 416 598 0055</w:t>
                          </w:r>
                        </w:p>
                        <w:p>
                          <w:pPr>
                            <w:pStyle w:val="Normal"/>
                            <w:spacing w:lineRule="exact" w:line="200"/>
                            <w:rPr/>
                          </w:pPr>
                          <w:r>
                            <w:rPr>
                              <w:spacing w:val="-30"/>
                              <w:sz w:val="18"/>
                            </w:rPr>
                            <w:t xml:space="preserve"> </w:t>
                          </w:r>
                          <w:r>
                            <w:rPr>
                              <w:sz w:val="18"/>
                            </w:rPr>
                            <w:t>Fax 416 598 7956</w:t>
                          </w:r>
                        </w:p>
                        <w:p>
                          <w:pPr>
                            <w:pStyle w:val="Normal"/>
                            <w:spacing w:lineRule="exact" w:line="200"/>
                            <w:rPr/>
                          </w:pPr>
                          <w:r>
                            <w:rPr>
                              <w:spacing w:val="-20"/>
                              <w:sz w:val="18"/>
                            </w:rPr>
                            <w:t xml:space="preserve"> </w:t>
                          </w:r>
                          <w:r>
                            <w:rPr>
                              <w:sz w:val="18"/>
                            </w:rPr>
                            <w:t>www.gpcinternational.com</w:t>
                          </w:r>
                        </w:p>
                      </w:txbxContent>
                    </wps:txbx>
                    <wps:bodyPr anchor="t" lIns="0" tIns="0" rIns="0" bIns="0">
                      <a:noAutofit/>
                    </wps:bodyPr>
                  </wps:wsp>
                </a:graphicData>
              </a:graphic>
            </wp:anchor>
          </w:drawing>
        </mc:Choice>
        <mc:Fallback>
          <w:pict>
            <v:rect fillcolor="#FFFFFF" style="position:absolute;rotation:-0;width:107.3pt;height:30pt;mso-wrap-distance-left:9.35pt;mso-wrap-distance-right:9.35pt;mso-wrap-distance-top:9.35pt;mso-wrap-distance-bottom:9.35pt;margin-top:61.95pt;mso-position-vertical-relative:page;margin-left:482.45pt;mso-position-horizontal-relative:page">
              <v:fill opacity="0f"/>
              <v:textbox inset="0in,0in,0in,0in">
                <w:txbxContent>
                  <w:p>
                    <w:pPr>
                      <w:pStyle w:val="Normal"/>
                      <w:spacing w:lineRule="exact" w:line="200"/>
                      <w:rPr>
                        <w:sz w:val="18"/>
                      </w:rPr>
                    </w:pPr>
                    <w:r>
                      <w:rPr>
                        <w:sz w:val="18"/>
                      </w:rPr>
                      <w:t>Tel 416 598 0055</w:t>
                    </w:r>
                  </w:p>
                  <w:p>
                    <w:pPr>
                      <w:pStyle w:val="Normal"/>
                      <w:spacing w:lineRule="exact" w:line="200"/>
                      <w:rPr/>
                    </w:pPr>
                    <w:r>
                      <w:rPr>
                        <w:spacing w:val="-30"/>
                        <w:sz w:val="18"/>
                      </w:rPr>
                      <w:t xml:space="preserve"> </w:t>
                    </w:r>
                    <w:r>
                      <w:rPr>
                        <w:sz w:val="18"/>
                      </w:rPr>
                      <w:t>Fax 416 598 7956</w:t>
                    </w:r>
                  </w:p>
                  <w:p>
                    <w:pPr>
                      <w:pStyle w:val="Normal"/>
                      <w:spacing w:lineRule="exact" w:line="200"/>
                      <w:rPr/>
                    </w:pPr>
                    <w:r>
                      <w:rPr>
                        <w:spacing w:val="-20"/>
                        <w:sz w:val="18"/>
                      </w:rPr>
                      <w:t xml:space="preserve"> </w:t>
                    </w:r>
                    <w:r>
                      <w:rPr>
                        <w:sz w:val="18"/>
                      </w:rPr>
                      <w:t>www.gpcinternational.com</w:t>
                    </w:r>
                  </w:p>
                </w:txbxContent>
              </v:textbox>
              <w10:wrap type="square"/>
            </v:rect>
          </w:pict>
        </mc:Fallback>
      </mc:AlternateContent>
    </w:r>
    <w:r>
      <mc:AlternateContent>
        <mc:Choice Requires="wps">
          <w:drawing>
            <wp:anchor behindDoc="0" distT="114300" distB="114300" distL="114300" distR="114300" simplePos="0" locked="0" layoutInCell="0" allowOverlap="1" relativeHeight="5">
              <wp:simplePos x="0" y="0"/>
              <wp:positionH relativeFrom="page">
                <wp:posOffset>457835</wp:posOffset>
              </wp:positionH>
              <wp:positionV relativeFrom="page">
                <wp:posOffset>5304155</wp:posOffset>
              </wp:positionV>
              <wp:extent cx="1066800" cy="3556000"/>
              <wp:effectExtent l="0" t="0" r="0" b="0"/>
              <wp:wrapSquare wrapText="bothSides"/>
              <wp:docPr id="7" name="Frame4"/>
              <a:graphic xmlns:a="http://schemas.openxmlformats.org/drawingml/2006/main">
                <a:graphicData uri="http://schemas.microsoft.com/office/word/2010/wordprocessingShape">
                  <wps:wsp>
                    <wps:cNvSpPr txBox="1"/>
                    <wps:spPr>
                      <a:xfrm>
                        <a:off x="0" y="0"/>
                        <a:ext cx="1066800" cy="3556000"/>
                      </a:xfrm>
                      <a:prstGeom prst="rect"/>
                      <a:solidFill>
                        <a:srgbClr val="FFFFFF">
                          <a:alpha val="0"/>
                        </a:srgbClr>
                      </a:solidFill>
                    </wps:spPr>
                    <wps:txbx>
                      <w:txbxContent>
                        <w:p>
                          <w:pPr>
                            <w:pStyle w:val="Normal"/>
                            <w:spacing w:lineRule="exact" w:line="400"/>
                            <w:rPr>
                              <w:sz w:val="20"/>
                              <w:lang w:val="fr-CA"/>
                            </w:rPr>
                          </w:pPr>
                          <w:r>
                            <w:rPr>
                              <w:sz w:val="20"/>
                              <w:lang w:val="fr-CA"/>
                            </w:rPr>
                            <w:t xml:space="preserve">Toronto </w:t>
                          </w:r>
                        </w:p>
                        <w:p>
                          <w:pPr>
                            <w:pStyle w:val="Normal"/>
                            <w:spacing w:lineRule="exact" w:line="400"/>
                            <w:rPr>
                              <w:sz w:val="20"/>
                              <w:lang w:val="fr-CA"/>
                            </w:rPr>
                          </w:pPr>
                          <w:r>
                            <w:rPr>
                              <w:sz w:val="20"/>
                              <w:lang w:val="fr-CA"/>
                            </w:rPr>
                            <w:t xml:space="preserve">Calgary </w:t>
                          </w:r>
                        </w:p>
                        <w:p>
                          <w:pPr>
                            <w:pStyle w:val="Normal"/>
                            <w:spacing w:lineRule="exact" w:line="400"/>
                            <w:rPr>
                              <w:sz w:val="20"/>
                              <w:lang w:val="fr-CA"/>
                            </w:rPr>
                          </w:pPr>
                          <w:r>
                            <w:rPr>
                              <w:sz w:val="20"/>
                              <w:lang w:val="fr-CA"/>
                            </w:rPr>
                            <w:t>Edmonton</w:t>
                          </w:r>
                        </w:p>
                        <w:p>
                          <w:pPr>
                            <w:pStyle w:val="Normal"/>
                            <w:spacing w:lineRule="exact" w:line="400"/>
                            <w:rPr>
                              <w:sz w:val="20"/>
                              <w:lang w:val="fr-CA"/>
                            </w:rPr>
                          </w:pPr>
                          <w:r>
                            <w:rPr>
                              <w:sz w:val="20"/>
                              <w:lang w:val="fr-CA"/>
                            </w:rPr>
                            <w:t>Montréal</w:t>
                          </w:r>
                        </w:p>
                        <w:p>
                          <w:pPr>
                            <w:pStyle w:val="Normal"/>
                            <w:spacing w:lineRule="exact" w:line="400"/>
                            <w:rPr>
                              <w:sz w:val="20"/>
                              <w:lang w:val="fr-CA"/>
                            </w:rPr>
                          </w:pPr>
                          <w:r>
                            <w:rPr>
                              <w:sz w:val="20"/>
                              <w:lang w:val="fr-CA"/>
                            </w:rPr>
                            <w:t xml:space="preserve">Ottawa </w:t>
                          </w:r>
                        </w:p>
                        <w:p>
                          <w:pPr>
                            <w:pStyle w:val="Normal"/>
                            <w:spacing w:lineRule="exact" w:line="400"/>
                            <w:rPr>
                              <w:sz w:val="20"/>
                              <w:lang w:val="fr-CA"/>
                            </w:rPr>
                          </w:pPr>
                          <w:r>
                            <w:rPr>
                              <w:sz w:val="20"/>
                              <w:lang w:val="fr-CA"/>
                            </w:rPr>
                            <w:t>Québec</w:t>
                          </w:r>
                        </w:p>
                        <w:p>
                          <w:pPr>
                            <w:pStyle w:val="Normal"/>
                            <w:spacing w:lineRule="exact" w:line="400"/>
                            <w:rPr>
                              <w:sz w:val="20"/>
                              <w:lang w:val="fr-CA"/>
                            </w:rPr>
                          </w:pPr>
                          <w:r>
                            <w:rPr>
                              <w:sz w:val="20"/>
                              <w:lang w:val="fr-CA"/>
                            </w:rPr>
                            <w:t>Vancouver</w:t>
                          </w:r>
                        </w:p>
                        <w:p>
                          <w:pPr>
                            <w:pStyle w:val="Normal"/>
                            <w:spacing w:lineRule="exact" w:line="400"/>
                            <w:rPr>
                              <w:sz w:val="20"/>
                              <w:lang w:val="fr-CA"/>
                            </w:rPr>
                          </w:pPr>
                          <w:r>
                            <w:rPr>
                              <w:sz w:val="20"/>
                              <w:lang w:val="fr-CA"/>
                            </w:rPr>
                            <w:t>Victoria</w:t>
                          </w:r>
                        </w:p>
                        <w:p>
                          <w:pPr>
                            <w:pStyle w:val="Normal"/>
                            <w:spacing w:lineRule="exact" w:line="400"/>
                            <w:rPr>
                              <w:sz w:val="20"/>
                              <w:lang w:val="fr-CA"/>
                            </w:rPr>
                          </w:pPr>
                          <w:r>
                            <w:rPr>
                              <w:sz w:val="20"/>
                              <w:lang w:val="fr-CA"/>
                            </w:rPr>
                            <w:t>Boston</w:t>
                          </w:r>
                        </w:p>
                        <w:p>
                          <w:pPr>
                            <w:pStyle w:val="Normal"/>
                            <w:spacing w:lineRule="exact" w:line="400"/>
                            <w:rPr>
                              <w:sz w:val="20"/>
                              <w:lang w:val="fr-CA"/>
                            </w:rPr>
                          </w:pPr>
                          <w:r>
                            <w:rPr>
                              <w:sz w:val="20"/>
                              <w:lang w:val="fr-CA"/>
                            </w:rPr>
                            <w:t>Providence</w:t>
                          </w:r>
                        </w:p>
                        <w:p>
                          <w:pPr>
                            <w:pStyle w:val="Normal"/>
                            <w:spacing w:lineRule="exact" w:line="400"/>
                            <w:rPr>
                              <w:sz w:val="20"/>
                              <w:lang w:val="fr-CA"/>
                            </w:rPr>
                          </w:pPr>
                          <w:r>
                            <w:rPr>
                              <w:sz w:val="20"/>
                              <w:lang w:val="fr-CA"/>
                            </w:rPr>
                            <w:t>Washington, D.C.</w:t>
                          </w:r>
                        </w:p>
                        <w:p>
                          <w:pPr>
                            <w:pStyle w:val="Normal"/>
                            <w:spacing w:lineRule="exact" w:line="400"/>
                            <w:rPr>
                              <w:sz w:val="20"/>
                              <w:lang w:val="fr-CA"/>
                            </w:rPr>
                          </w:pPr>
                          <w:r>
                            <w:rPr>
                              <w:sz w:val="20"/>
                              <w:lang w:val="fr-CA"/>
                            </w:rPr>
                            <w:t>Brussels</w:t>
                          </w:r>
                        </w:p>
                        <w:p>
                          <w:pPr>
                            <w:pStyle w:val="Normal"/>
                            <w:spacing w:lineRule="exact" w:line="400"/>
                            <w:rPr>
                              <w:sz w:val="20"/>
                              <w:lang w:val="fr-CA"/>
                            </w:rPr>
                          </w:pPr>
                          <w:r>
                            <w:rPr>
                              <w:sz w:val="20"/>
                              <w:lang w:val="fr-CA"/>
                            </w:rPr>
                            <w:t>London</w:t>
                          </w:r>
                        </w:p>
                        <w:p>
                          <w:pPr>
                            <w:pStyle w:val="Normal"/>
                            <w:spacing w:lineRule="exact" w:line="400"/>
                            <w:rPr>
                              <w:sz w:val="20"/>
                            </w:rPr>
                          </w:pPr>
                          <w:r>
                            <w:rPr>
                              <w:sz w:val="20"/>
                              <w:lang w:val="fr-CA"/>
                            </w:rPr>
                            <w:t>Edinburgh</w:t>
                          </w:r>
                        </w:p>
                      </w:txbxContent>
                    </wps:txbx>
                    <wps:bodyPr anchor="t" lIns="0" tIns="0" rIns="0" bIns="0">
                      <a:noAutofit/>
                    </wps:bodyPr>
                  </wps:wsp>
                </a:graphicData>
              </a:graphic>
            </wp:anchor>
          </w:drawing>
        </mc:Choice>
        <mc:Fallback>
          <w:pict>
            <v:rect fillcolor="#FFFFFF" style="position:absolute;rotation:-0;width:84pt;height:280pt;mso-wrap-distance-left:9pt;mso-wrap-distance-right:9pt;mso-wrap-distance-top:9pt;mso-wrap-distance-bottom:9pt;margin-top:417.65pt;mso-position-vertical-relative:page;margin-left:36.05pt;mso-position-horizontal-relative:page">
              <v:fill opacity="0f"/>
              <v:textbox inset="0in,0in,0in,0in">
                <w:txbxContent>
                  <w:p>
                    <w:pPr>
                      <w:pStyle w:val="Normal"/>
                      <w:spacing w:lineRule="exact" w:line="400"/>
                      <w:rPr>
                        <w:sz w:val="20"/>
                        <w:lang w:val="fr-CA"/>
                      </w:rPr>
                    </w:pPr>
                    <w:r>
                      <w:rPr>
                        <w:sz w:val="20"/>
                        <w:lang w:val="fr-CA"/>
                      </w:rPr>
                      <w:t xml:space="preserve">Toronto </w:t>
                    </w:r>
                  </w:p>
                  <w:p>
                    <w:pPr>
                      <w:pStyle w:val="Normal"/>
                      <w:spacing w:lineRule="exact" w:line="400"/>
                      <w:rPr>
                        <w:sz w:val="20"/>
                        <w:lang w:val="fr-CA"/>
                      </w:rPr>
                    </w:pPr>
                    <w:r>
                      <w:rPr>
                        <w:sz w:val="20"/>
                        <w:lang w:val="fr-CA"/>
                      </w:rPr>
                      <w:t xml:space="preserve">Calgary </w:t>
                    </w:r>
                  </w:p>
                  <w:p>
                    <w:pPr>
                      <w:pStyle w:val="Normal"/>
                      <w:spacing w:lineRule="exact" w:line="400"/>
                      <w:rPr>
                        <w:sz w:val="20"/>
                        <w:lang w:val="fr-CA"/>
                      </w:rPr>
                    </w:pPr>
                    <w:r>
                      <w:rPr>
                        <w:sz w:val="20"/>
                        <w:lang w:val="fr-CA"/>
                      </w:rPr>
                      <w:t>Edmonton</w:t>
                    </w:r>
                  </w:p>
                  <w:p>
                    <w:pPr>
                      <w:pStyle w:val="Normal"/>
                      <w:spacing w:lineRule="exact" w:line="400"/>
                      <w:rPr>
                        <w:sz w:val="20"/>
                        <w:lang w:val="fr-CA"/>
                      </w:rPr>
                    </w:pPr>
                    <w:r>
                      <w:rPr>
                        <w:sz w:val="20"/>
                        <w:lang w:val="fr-CA"/>
                      </w:rPr>
                      <w:t>Montréal</w:t>
                    </w:r>
                  </w:p>
                  <w:p>
                    <w:pPr>
                      <w:pStyle w:val="Normal"/>
                      <w:spacing w:lineRule="exact" w:line="400"/>
                      <w:rPr>
                        <w:sz w:val="20"/>
                        <w:lang w:val="fr-CA"/>
                      </w:rPr>
                    </w:pPr>
                    <w:r>
                      <w:rPr>
                        <w:sz w:val="20"/>
                        <w:lang w:val="fr-CA"/>
                      </w:rPr>
                      <w:t xml:space="preserve">Ottawa </w:t>
                    </w:r>
                  </w:p>
                  <w:p>
                    <w:pPr>
                      <w:pStyle w:val="Normal"/>
                      <w:spacing w:lineRule="exact" w:line="400"/>
                      <w:rPr>
                        <w:sz w:val="20"/>
                        <w:lang w:val="fr-CA"/>
                      </w:rPr>
                    </w:pPr>
                    <w:r>
                      <w:rPr>
                        <w:sz w:val="20"/>
                        <w:lang w:val="fr-CA"/>
                      </w:rPr>
                      <w:t>Québec</w:t>
                    </w:r>
                  </w:p>
                  <w:p>
                    <w:pPr>
                      <w:pStyle w:val="Normal"/>
                      <w:spacing w:lineRule="exact" w:line="400"/>
                      <w:rPr>
                        <w:sz w:val="20"/>
                        <w:lang w:val="fr-CA"/>
                      </w:rPr>
                    </w:pPr>
                    <w:r>
                      <w:rPr>
                        <w:sz w:val="20"/>
                        <w:lang w:val="fr-CA"/>
                      </w:rPr>
                      <w:t>Vancouver</w:t>
                    </w:r>
                  </w:p>
                  <w:p>
                    <w:pPr>
                      <w:pStyle w:val="Normal"/>
                      <w:spacing w:lineRule="exact" w:line="400"/>
                      <w:rPr>
                        <w:sz w:val="20"/>
                        <w:lang w:val="fr-CA"/>
                      </w:rPr>
                    </w:pPr>
                    <w:r>
                      <w:rPr>
                        <w:sz w:val="20"/>
                        <w:lang w:val="fr-CA"/>
                      </w:rPr>
                      <w:t>Victoria</w:t>
                    </w:r>
                  </w:p>
                  <w:p>
                    <w:pPr>
                      <w:pStyle w:val="Normal"/>
                      <w:spacing w:lineRule="exact" w:line="400"/>
                      <w:rPr>
                        <w:sz w:val="20"/>
                        <w:lang w:val="fr-CA"/>
                      </w:rPr>
                    </w:pPr>
                    <w:r>
                      <w:rPr>
                        <w:sz w:val="20"/>
                        <w:lang w:val="fr-CA"/>
                      </w:rPr>
                      <w:t>Boston</w:t>
                    </w:r>
                  </w:p>
                  <w:p>
                    <w:pPr>
                      <w:pStyle w:val="Normal"/>
                      <w:spacing w:lineRule="exact" w:line="400"/>
                      <w:rPr>
                        <w:sz w:val="20"/>
                        <w:lang w:val="fr-CA"/>
                      </w:rPr>
                    </w:pPr>
                    <w:r>
                      <w:rPr>
                        <w:sz w:val="20"/>
                        <w:lang w:val="fr-CA"/>
                      </w:rPr>
                      <w:t>Providence</w:t>
                    </w:r>
                  </w:p>
                  <w:p>
                    <w:pPr>
                      <w:pStyle w:val="Normal"/>
                      <w:spacing w:lineRule="exact" w:line="400"/>
                      <w:rPr>
                        <w:sz w:val="20"/>
                        <w:lang w:val="fr-CA"/>
                      </w:rPr>
                    </w:pPr>
                    <w:r>
                      <w:rPr>
                        <w:sz w:val="20"/>
                        <w:lang w:val="fr-CA"/>
                      </w:rPr>
                      <w:t>Washington, D.C.</w:t>
                    </w:r>
                  </w:p>
                  <w:p>
                    <w:pPr>
                      <w:pStyle w:val="Normal"/>
                      <w:spacing w:lineRule="exact" w:line="400"/>
                      <w:rPr>
                        <w:sz w:val="20"/>
                        <w:lang w:val="fr-CA"/>
                      </w:rPr>
                    </w:pPr>
                    <w:r>
                      <w:rPr>
                        <w:sz w:val="20"/>
                        <w:lang w:val="fr-CA"/>
                      </w:rPr>
                      <w:t>Brussels</w:t>
                    </w:r>
                  </w:p>
                  <w:p>
                    <w:pPr>
                      <w:pStyle w:val="Normal"/>
                      <w:spacing w:lineRule="exact" w:line="400"/>
                      <w:rPr>
                        <w:sz w:val="20"/>
                        <w:lang w:val="fr-CA"/>
                      </w:rPr>
                    </w:pPr>
                    <w:r>
                      <w:rPr>
                        <w:sz w:val="20"/>
                        <w:lang w:val="fr-CA"/>
                      </w:rPr>
                      <w:t>London</w:t>
                    </w:r>
                  </w:p>
                  <w:p>
                    <w:pPr>
                      <w:pStyle w:val="Normal"/>
                      <w:spacing w:lineRule="exact" w:line="400"/>
                      <w:rPr>
                        <w:sz w:val="20"/>
                      </w:rPr>
                    </w:pPr>
                    <w:r>
                      <w:rPr>
                        <w:sz w:val="20"/>
                        <w:lang w:val="fr-CA"/>
                      </w:rPr>
                      <w:t>Edinburgh</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sz w:val="60"/>
    </w:rPr>
  </w:style>
  <w:style w:type="paragraph" w:styleId="Heading2">
    <w:name w:val="heading 2"/>
    <w:basedOn w:val="Normal"/>
    <w:next w:val="Normal"/>
    <w:qFormat/>
    <w:pPr>
      <w:keepNext w:val="true"/>
      <w:numPr>
        <w:ilvl w:val="1"/>
        <w:numId w:val="1"/>
      </w:numPr>
      <w:outlineLvl w:val="1"/>
    </w:pPr>
    <w:rPr>
      <w:rFonts w:ascii="Arial" w:hAnsi="Arial" w:cs="Arial"/>
      <w:sz w:val="32"/>
    </w:rPr>
  </w:style>
  <w:style w:type="paragraph" w:styleId="Heading3">
    <w:name w:val="heading 3"/>
    <w:basedOn w:val="Normal"/>
    <w:next w:val="Normal"/>
    <w:qFormat/>
    <w:pPr>
      <w:keepNext w:val="true"/>
      <w:numPr>
        <w:ilvl w:val="2"/>
        <w:numId w:val="1"/>
      </w:numPr>
      <w:outlineLvl w:val="2"/>
    </w:pPr>
    <w:rPr>
      <w:rFonts w:ascii="Arial" w:hAnsi="Arial" w:cs="Arial"/>
      <w:b/>
      <w:sz w:val="24"/>
    </w:rPr>
  </w:style>
  <w:style w:type="paragraph" w:styleId="Heading4">
    <w:name w:val="heading 4"/>
    <w:basedOn w:val="Normal"/>
    <w:next w:val="Normal"/>
    <w:qFormat/>
    <w:pPr>
      <w:keepNext w:val="true"/>
      <w:numPr>
        <w:ilvl w:val="3"/>
        <w:numId w:val="1"/>
      </w:numPr>
      <w:outlineLvl w:val="3"/>
    </w:pPr>
    <w:rPr>
      <w:rFonts w:ascii="Arial" w:hAnsi="Arial" w:cs="Arial"/>
      <w:b/>
    </w:rPr>
  </w:style>
  <w:style w:type="paragraph" w:styleId="Heading5">
    <w:name w:val="heading 5"/>
    <w:basedOn w:val="Normal"/>
    <w:next w:val="Normal"/>
    <w:qFormat/>
    <w:pPr>
      <w:keepNext w:val="true"/>
      <w:numPr>
        <w:ilvl w:val="4"/>
        <w:numId w:val="1"/>
      </w:numPr>
      <w:outlineLvl w:val="4"/>
    </w:pPr>
    <w:rPr>
      <w:rFonts w:ascii="Arial" w:hAnsi="Arial" w:cs="Arial"/>
      <w:b/>
      <w:sz w:val="28"/>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6"/>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6"/>
    </w:rPr>
  </w:style>
  <w:style w:type="paragraph" w:styleId="BodyTextIndent">
    <w:name w:val="Body Text Indent"/>
    <w:basedOn w:val="Normal"/>
    <w:pPr>
      <w:ind w:hanging="720" w:start="720" w:end="0"/>
    </w:pPr>
    <w:rPr>
      <w:rFonts w:ascii="Arial" w:hAnsi="Arial" w:cs="Arial"/>
      <w:b/>
      <w:sz w:val="24"/>
    </w:rPr>
  </w:style>
  <w:style w:type="paragraph" w:styleId="BodyTextIndent2">
    <w:name w:val="Body Text Indent 2"/>
    <w:basedOn w:val="Normal"/>
    <w:qFormat/>
    <w:pPr>
      <w:ind w:hanging="360" w:start="360" w:end="0"/>
      <w:jc w:val="both"/>
    </w:pPr>
    <w:rPr>
      <w:rFonts w:ascii="Arial" w:hAnsi="Arial" w:cs="Arial"/>
      <w:sz w:val="24"/>
    </w:rPr>
  </w:style>
  <w:style w:type="paragraph" w:styleId="BodyTextIndent3">
    <w:name w:val="Body Text Indent 3"/>
    <w:basedOn w:val="Normal"/>
    <w:qFormat/>
    <w:pPr>
      <w:ind w:hanging="720" w:start="720" w:end="0"/>
    </w:pPr>
    <w:rPr>
      <w:rFonts w:ascii="Arial" w:hAnsi="Arial" w:cs="Arial"/>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 Toronto GPC Canada</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2000-08-11T18:57:00Z</dcterms:created>
  <dc:creator>GPC</dc:creator>
  <dc:description/>
  <dc:language>en-CA</dc:language>
  <cp:lastModifiedBy>Eric William Thode</cp:lastModifiedBy>
  <cp:lastPrinted>2000-07-28T18:13:00Z</cp:lastPrinted>
  <dcterms:modified xsi:type="dcterms:W3CDTF">2000-08-11T18:57:00Z</dcterms:modified>
  <cp:revision>2</cp:revision>
  <dc:subject/>
  <dc:title>Prefix FirstName LastName</dc:title>
</cp:coreProperties>
</file>