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pacing w:before="100" w:after="100"/>
        <w:ind w:start="720" w:end="0"/>
        <w:rPr/>
      </w:pPr>
      <w:r>
        <w:rPr>
          <w:rStyle w:val="Strong"/>
          <w:rFonts w:cs="Arial" w:ascii="Arial" w:hAnsi="Arial"/>
          <w:sz w:val="20"/>
          <w:szCs w:val="20"/>
        </w:rPr>
        <w:t>Enron North America-Upstream Products</w:t>
      </w:r>
    </w:p>
    <w:p>
      <w:pPr>
        <w:pStyle w:val="NormalWeb"/>
        <w:ind w:start="720" w:end="0"/>
        <w:rPr/>
      </w:pPr>
      <w:r>
        <w:rPr>
          <w:rFonts w:cs="Arial" w:ascii="Arial" w:hAnsi="Arial"/>
          <w:b/>
          <w:bCs/>
          <w:sz w:val="20"/>
          <w:szCs w:val="20"/>
        </w:rPr>
        <w:br/>
      </w:r>
      <w:r>
        <w:rPr>
          <w:rFonts w:cs="Arial" w:ascii="Arial" w:hAnsi="Arial"/>
          <w:sz w:val="20"/>
          <w:szCs w:val="20"/>
        </w:rPr>
        <w:t>Upstream Products has partnered with Duke Energy Field Services (DEFS) to close a</w:t>
      </w:r>
      <w:r>
        <w:rPr>
          <w:rFonts w:cs="Arial" w:ascii="Arial" w:hAnsi="Arial"/>
          <w:color w:val="0000FF"/>
          <w:sz w:val="20"/>
          <w:szCs w:val="20"/>
        </w:rPr>
        <w:t xml:space="preserve"> </w:t>
      </w:r>
      <w:r>
        <w:rPr>
          <w:rFonts w:cs="Arial" w:ascii="Arial" w:hAnsi="Arial"/>
          <w:sz w:val="20"/>
          <w:szCs w:val="20"/>
        </w:rPr>
        <w:t>20-year NGL exchange and transportation d</w:t>
      </w:r>
      <w:r>
        <w:rPr>
          <w:rFonts w:cs="Arial" w:ascii="Arial" w:hAnsi="Arial"/>
          <w:color w:val="000000"/>
          <w:sz w:val="20"/>
          <w:szCs w:val="20"/>
        </w:rPr>
        <w:t>eal </w:t>
      </w:r>
      <w:r>
        <w:rPr>
          <w:rFonts w:cs="Arial" w:ascii="Arial" w:hAnsi="Arial"/>
          <w:sz w:val="20"/>
          <w:szCs w:val="20"/>
        </w:rPr>
        <w:t>with Formosa Hydrocarbons and Williams Energy Field Services to handle raw make product from the Williams Markham plant. Formosa Hydrocarbons is building a 40,000 BPD fractionator to handle this and other Gulf Coast NGL production</w:t>
      </w:r>
      <w:r>
        <w:rPr>
          <w:rFonts w:cs="Arial" w:ascii="Arial" w:hAnsi="Arial"/>
          <w:color w:val="0000FF"/>
          <w:sz w:val="20"/>
          <w:szCs w:val="20"/>
        </w:rPr>
        <w:t>. </w:t>
      </w:r>
      <w:r>
        <w:rPr>
          <w:rFonts w:cs="Arial" w:ascii="Arial" w:hAnsi="Arial"/>
          <w:sz w:val="20"/>
          <w:szCs w:val="20"/>
        </w:rPr>
        <w:t xml:space="preserve"> The accompanying pipeline will be known as the Seabreeze pipeline system and will be constructed by DEFS. Texas Brine LLC will provide NGL storage services for Formosa Hydrocarbons on this system. Primary production for this system is coming from the Boomvang Nansen field in the deepwater GOM and will be the first deepwater GOM production to come onshore in Texas. </w:t>
      </w:r>
    </w:p>
    <w:p>
      <w:pPr>
        <w:pStyle w:val="NormalWeb"/>
        <w:ind w:start="720" w:end="0"/>
        <w:rPr/>
      </w:pPr>
      <w:r>
        <w:rPr>
          <w:rFonts w:cs="Arial" w:ascii="Arial" w:hAnsi="Arial"/>
          <w:sz w:val="20"/>
          <w:szCs w:val="20"/>
        </w:rPr>
        <w:t xml:space="preserve">Upstream Products has also worked to arrange a 20-year transportation lease agreement on the Dean Pipeline (owned by TEPPCO) for refinery grade propylene service to be utilized by Formosa Plastics. Coupled with this transaction, </w:t>
      </w:r>
      <w:r>
        <w:rPr>
          <w:rFonts w:cs="Arial" w:ascii="Arial" w:hAnsi="Arial"/>
          <w:b/>
          <w:bCs/>
          <w:sz w:val="20"/>
          <w:szCs w:val="20"/>
        </w:rPr>
        <w:t>Enron Clean Fuels</w:t>
      </w:r>
      <w:r>
        <w:rPr>
          <w:rFonts w:cs="Arial" w:ascii="Arial" w:hAnsi="Arial"/>
          <w:sz w:val="20"/>
          <w:szCs w:val="20"/>
        </w:rPr>
        <w:t xml:space="preserve"> has entered into a propylene storage agreement with Formosa Plastics to utilize ECF’s Mt. Belvieu storage facilities.  In addition, </w:t>
      </w:r>
      <w:r>
        <w:rPr>
          <w:rFonts w:cs="Arial" w:ascii="Arial" w:hAnsi="Arial"/>
          <w:b/>
          <w:bCs/>
          <w:sz w:val="20"/>
          <w:szCs w:val="20"/>
        </w:rPr>
        <w:t>Enron Global Markets</w:t>
      </w:r>
      <w:r>
        <w:rPr>
          <w:rFonts w:cs="Arial" w:ascii="Arial" w:hAnsi="Arial"/>
          <w:sz w:val="20"/>
          <w:szCs w:val="20"/>
        </w:rPr>
        <w:t xml:space="preserve"> has been able to amend its current transportation agreement with TEPPCO to pre-maturely terminate a take-or-pay obligation and realize additional transportation revenues from interim NGL production coming from the Williams Markham to be delivered to Mt. Belvieu.  </w:t>
      </w:r>
    </w:p>
    <w:p>
      <w:pPr>
        <w:pStyle w:val="NormalWeb"/>
        <w:ind w:start="720" w:end="0"/>
        <w:rPr>
          <w:rFonts w:ascii="Arial" w:hAnsi="Arial" w:cs="Arial"/>
          <w:sz w:val="20"/>
          <w:szCs w:val="20"/>
        </w:rPr>
      </w:pPr>
      <w:r>
        <w:rPr>
          <w:rFonts w:cs="Arial" w:ascii="Arial" w:hAnsi="Arial"/>
          <w:sz w:val="20"/>
          <w:szCs w:val="20"/>
        </w:rPr>
        <w:t>Upon close, Upstream Products was monetized out of its initial position by DEFS and retained a risk-free net profits position on the Seabreeze Pipeline going forward for an additional 20,000-40,000 BPD of excess capacity on the system.</w:t>
      </w:r>
    </w:p>
    <w:p>
      <w:pPr>
        <w:pStyle w:val="NormalWeb"/>
        <w:spacing w:before="0" w:after="0"/>
        <w:rPr>
          <w:rFonts w:ascii="Times New Roman" w:hAnsi="Times New Roman" w:eastAsia="Times New Roman" w:cs="Times New Roman"/>
          <w:strike/>
        </w:rPr>
      </w:pPr>
      <w:r>
        <w:rPr>
          <w:rFonts w:eastAsia="Times New Roman" w:cs="Times New Roman" w:ascii="Times New Roman" w:hAnsi="Times New Roman"/>
          <w:strike/>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Strong">
    <w:name w:val="Strong"/>
    <w:basedOn w:val="DefaultParagraphFont"/>
    <w:qFormat/>
    <w:rPr>
      <w:b/>
      <w:bC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2001-05-08T11:47:00Z</dcterms:created>
  <dc:creator>jmrha</dc:creator>
  <dc:description/>
  <dc:language>en-CA</dc:language>
  <cp:lastModifiedBy>jmrha</cp:lastModifiedBy>
  <dcterms:modified xsi:type="dcterms:W3CDTF">2001-05-08T11:57:00Z</dcterms:modified>
  <cp:revision>4</cp:revision>
  <dc:subject/>
  <dc:title>Enron North America-Upstream Products</dc:title>
</cp:coreProperties>
</file>