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 E M O R A N D U M</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w:t>
        <w:tab/>
        <w:tab/>
        <w:t>Jim Steffes</w:t>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Richard Sanders</w:t>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Corp.</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FROM:</w:t>
        <w:tab/>
        <w:t>Ron Carroll</w:t>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Kim Curry</w:t>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Bracewell &amp; Patterson, L.L.P.</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DATE:</w:t>
        <w:tab/>
        <w:t>March 13, 2001</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w:t>
        <w:tab/>
        <w:tab/>
        <w:t>California Investigation Proceedings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As we discussed, we have provided below a list of proceedings initiated subsequent to FERC's December 15, 2000 order, </w:t>
      </w:r>
      <w:r>
        <w:rPr>
          <w:rFonts w:eastAsia="Times New Roman" w:cs="Times New Roman" w:ascii="Times New Roman" w:hAnsi="Times New Roman"/>
          <w:i/>
          <w:iCs/>
          <w:color w:val="000000"/>
          <w:sz w:val="24"/>
          <w:szCs w:val="24"/>
        </w:rPr>
        <w:t>San Diego Gas and Electric Co.</w:t>
      </w:r>
      <w:r>
        <w:rPr>
          <w:rFonts w:eastAsia="Times New Roman" w:cs="Times New Roman" w:ascii="Times New Roman" w:hAnsi="Times New Roman"/>
          <w:color w:val="000000"/>
          <w:sz w:val="24"/>
          <w:szCs w:val="24"/>
        </w:rPr>
        <w:t xml:space="preserve">, 93 FERC ¶ 61,294 (2000) ("December 15 Order"), that relate to FERC investigation into the California power markets.  We  have divided the list into three categories – (1) proceedings in which EPMI has intervened and/or filed comments or protests, (2) proceedings in which EPMI has did not intervene or file comments or protests, and (3) proceedings in which interventions, protests, and comments are not yet due.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
        </w:numPr>
        <w:tabs>
          <w:tab w:val="clear" w:pos="720"/>
          <w:tab w:val="left" w:pos="720" w:leader="none"/>
        </w:tabs>
        <w:bidi w:val="0"/>
        <w:spacing w:lineRule="auto" w:line="240" w:before="0" w:after="0"/>
        <w:ind w:hanging="720" w:start="720" w:end="0"/>
        <w:jc w:val="both"/>
        <w:rPr>
          <w:rFonts w:ascii="Times New Roman" w:hAnsi="Times New Roman" w:eastAsia="Times New Roman" w:cs="Times New Roman"/>
          <w:b/>
          <w:bCs/>
          <w:i/>
          <w:i/>
          <w:iCs/>
          <w:color w:val="000000"/>
          <w:sz w:val="26"/>
          <w:szCs w:val="26"/>
        </w:rPr>
      </w:pPr>
      <w:r>
        <w:rPr>
          <w:rFonts w:eastAsia="Times New Roman" w:cs="Times New Roman" w:ascii="Times New Roman" w:hAnsi="Times New Roman"/>
          <w:b/>
          <w:bCs/>
          <w:i/>
          <w:iCs/>
          <w:color w:val="000000"/>
          <w:sz w:val="26"/>
          <w:szCs w:val="26"/>
        </w:rPr>
        <w:t>Proceedings in Which EPMI Has Filed Interventions, Protests, or Comments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Southern California Edison Co.</w:t>
      </w:r>
      <w:r>
        <w:rPr>
          <w:rFonts w:eastAsia="Times New Roman" w:cs="Times New Roman" w:ascii="Times New Roman" w:hAnsi="Times New Roman"/>
          <w:b/>
          <w:bCs/>
          <w:color w:val="000000"/>
          <w:sz w:val="24"/>
          <w:szCs w:val="24"/>
        </w:rPr>
        <w:t>, Docket No. EL01-33-000</w:t>
      </w:r>
      <w:r>
        <w:rPr>
          <w:rFonts w:eastAsia="Times New Roman" w:cs="Times New Roman" w:ascii="Times New Roman" w:hAnsi="Times New Roman"/>
          <w:color w:val="000000"/>
          <w:sz w:val="24"/>
          <w:szCs w:val="24"/>
        </w:rPr>
        <w:t>. On February 2, 2001, SCE  filed an Emergency Motion for a Cease and Desist Order requesting that FERC order the CalPX to immediately cease and desist any further action that the CalPX may take to liquidate or dispose of its Block Forward Market ("BFM") contracts, until an audit has been filed with, and approved by FERC.  On March 2, EPMI filed a motion to intervene and protest, on the grounds that SCE's request was presently moot in light of the fact that the BFM contracts were commandeered by the state of California on February 2, 2001.  EPMI further argued that, should the BFM contracts hereafter revert back to the CalPX, the liquidation method (by which the contracts are first offered to the counterparties of the BFM contracts) was consistent with the CalPX's duty to act in a prudent manner to protect the interests of its market participants.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type w:val="nextPage"/>
          <w:pgSz w:w="12240" w:h="15840"/>
          <w:pgMar w:left="1440" w:right="1440" w:gutter="0" w:header="0" w:top="960" w:footer="0" w:bottom="1008"/>
          <w:pgNumType w:fmt="decimal"/>
          <w:formProt w:val="false"/>
          <w:textDirection w:val="lrTb"/>
          <w:docGrid w:type="default" w:linePitch="600" w:charSpace="32768"/>
        </w:sect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Southern California Edison Co.</w:t>
      </w:r>
      <w:r>
        <w:rPr>
          <w:rFonts w:eastAsia="Times New Roman" w:cs="Times New Roman" w:ascii="Times New Roman" w:hAnsi="Times New Roman"/>
          <w:b/>
          <w:bCs/>
          <w:color w:val="000000"/>
          <w:sz w:val="24"/>
          <w:szCs w:val="24"/>
        </w:rPr>
        <w:t>, Docket No. EL01-34-000.</w:t>
      </w:r>
      <w:r>
        <w:rPr>
          <w:rFonts w:eastAsia="Times New Roman" w:cs="Times New Roman" w:ascii="Times New Roman" w:hAnsi="Times New Roman"/>
          <w:color w:val="000000"/>
          <w:sz w:val="24"/>
          <w:szCs w:val="24"/>
        </w:rPr>
        <w:t xml:space="preserve">  On February 2, SCE, along with PG&amp;E, also file a Motion for Immediate Suspension of the Underscheduling Penalty.  SCE and PG&amp;E argued that the Underscheduling Penalty established in the December 15 Order no longer served its purpose in light of the CalPX's decision to suspend operation of its spot markets.  On March 2, EES filed a motion to intervene and comments in support of the suspension, or in the alternative, requested an increase in the minimum deviation for smaller suppliers from the 10 MW established by the December 15 Order, to 40 MW.</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Mirant Delta, LLC, et al., v. California Independent System Operator Corporation</w:t>
      </w:r>
      <w:r>
        <w:rPr>
          <w:rFonts w:eastAsia="Times New Roman" w:cs="Times New Roman" w:ascii="Times New Roman" w:hAnsi="Times New Roman"/>
          <w:b/>
          <w:bCs/>
          <w:color w:val="000000"/>
          <w:sz w:val="24"/>
          <w:szCs w:val="24"/>
        </w:rPr>
        <w:t>, Docket No. EL01-35-000.</w:t>
      </w:r>
      <w:r>
        <w:rPr>
          <w:rFonts w:eastAsia="Times New Roman" w:cs="Times New Roman" w:ascii="Times New Roman" w:hAnsi="Times New Roman"/>
          <w:color w:val="000000"/>
          <w:sz w:val="24"/>
          <w:szCs w:val="24"/>
        </w:rPr>
        <w:t xml:space="preserve">  On February 6, Mirant Delta, LLC and Mirant Potrero (collectively, "Mirant") filed a Fast Track Complaint alleging that the CAISO violated the terms of its tariff and the filed rate doctrine by refusing to enforce the creditworthiness provisions of its tariff against SCE and PG&amp;E, and instead, issued notices to Mirant requiring that it continue to provide power to these defaulting utilities, despite the likelihood of non-payment.  Mirant further alleged that the CAISO is in violation of requirement of the December 15 Order that the CAISO Board be composed of individuals that are independent of the market.  On February 26, EPMI filed a motion to intervene and comments in support of Mirant's filing.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Coral Power, L.L.C, et al. v. California Power Exchange Corporation</w:t>
      </w:r>
      <w:r>
        <w:rPr>
          <w:rFonts w:eastAsia="Times New Roman" w:cs="Times New Roman" w:ascii="Times New Roman" w:hAnsi="Times New Roman"/>
          <w:b/>
          <w:bCs/>
          <w:color w:val="000000"/>
          <w:sz w:val="24"/>
          <w:szCs w:val="24"/>
        </w:rPr>
        <w:t>, Docket No. EL01-36-000.</w:t>
      </w:r>
      <w:r>
        <w:rPr>
          <w:rFonts w:eastAsia="Times New Roman" w:cs="Times New Roman" w:ascii="Times New Roman" w:hAnsi="Times New Roman"/>
          <w:color w:val="000000"/>
          <w:sz w:val="24"/>
          <w:szCs w:val="24"/>
        </w:rPr>
        <w:t xml:space="preserve">  On February 8, EPMI, along with eight other market participants, filed a Fast Track Complaint requesting that FERC find that the CalPX's attempt to chargeback to the non-defaulting parties the defaults of SCE and PG&amp;E is not authorized under the CalPX tariff, and is unjust and unreasonable.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Salt River Project Agricultural Improvement and Power District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i/>
          <w:iCs/>
          <w:color w:val="000000"/>
          <w:sz w:val="24"/>
          <w:szCs w:val="24"/>
        </w:rPr>
        <w:t>et al v. California Power Exchange</w:t>
      </w:r>
      <w:r>
        <w:rPr>
          <w:rFonts w:eastAsia="Times New Roman" w:cs="Times New Roman" w:ascii="Times New Roman" w:hAnsi="Times New Roman"/>
          <w:b/>
          <w:bCs/>
          <w:color w:val="000000"/>
          <w:sz w:val="24"/>
          <w:szCs w:val="24"/>
        </w:rPr>
        <w:t>, Docket No. EL01-37-000.</w:t>
      </w:r>
      <w:r>
        <w:rPr>
          <w:rFonts w:eastAsia="Times New Roman" w:cs="Times New Roman" w:ascii="Times New Roman" w:hAnsi="Times New Roman"/>
          <w:color w:val="000000"/>
          <w:sz w:val="24"/>
          <w:szCs w:val="24"/>
        </w:rPr>
        <w:t xml:space="preserve">  On February 12, Salt River Project ("SRP") and Sacramento Municipal Utility District ("SMUD") filed a Fast Track Complaint seeking a Commission order directing the CalPX to cease applying the chargeback provisions of its tariff.  On February 28, EPMI, along with Coral, filed an intervention and limited protest to the filing.  Although EPMI and Coral supported much of the complaint, we protested the statements of SRP and SMUD that SCE and PG&amp;E may not be in default to the CalPX due to </w:t>
      </w:r>
      <w:r>
        <w:rPr>
          <w:rFonts w:eastAsia="Times New Roman" w:cs="Times New Roman" w:ascii="Times New Roman" w:hAnsi="Times New Roman"/>
          <w:i/>
          <w:iCs/>
          <w:color w:val="000000"/>
          <w:sz w:val="24"/>
          <w:szCs w:val="24"/>
        </w:rPr>
        <w:t>force majeure</w:t>
      </w:r>
      <w:r>
        <w:rPr>
          <w:rFonts w:eastAsia="Times New Roman" w:cs="Times New Roman" w:ascii="Times New Roman" w:hAnsi="Times New Roman"/>
          <w:color w:val="000000"/>
          <w:sz w:val="24"/>
          <w:szCs w:val="24"/>
        </w:rPr>
        <w:t xml:space="preserve"> considerations.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San Diego Gas and Electric Co. v. Sellers of Energy and Ancillary Services into Markets Operated by the California Independent System Operator and the California Power Exchange</w:t>
      </w:r>
      <w:r>
        <w:rPr>
          <w:rFonts w:eastAsia="Times New Roman" w:cs="Times New Roman" w:ascii="Times New Roman" w:hAnsi="Times New Roman"/>
          <w:b/>
          <w:bCs/>
          <w:color w:val="000000"/>
          <w:sz w:val="24"/>
          <w:szCs w:val="24"/>
        </w:rPr>
        <w:t>, Docket Nos. EL00-95-014, et al.</w:t>
      </w:r>
      <w:r>
        <w:rPr>
          <w:rFonts w:eastAsia="Times New Roman" w:cs="Times New Roman" w:ascii="Times New Roman" w:hAnsi="Times New Roman"/>
          <w:color w:val="000000"/>
          <w:sz w:val="24"/>
          <w:szCs w:val="24"/>
        </w:rPr>
        <w:t xml:space="preserve">  On February 26, 2001, the CalPX submitted a compliance filing pursuant to FERC's January 29, 2001 Order that had affirmed the CalPX use the $150/MWh breakpoint methodology.  On March 9, 2001, EPMI filed comments supporting the CalPX's  proposed Method I.</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2"/>
        </w:numPr>
        <w:tabs>
          <w:tab w:val="clear" w:pos="720"/>
          <w:tab w:val="left" w:pos="720" w:leader="none"/>
        </w:tabs>
        <w:bidi w:val="0"/>
        <w:spacing w:lineRule="auto" w:line="240" w:before="0" w:after="0"/>
        <w:ind w:hanging="720" w:start="72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6"/>
          <w:szCs w:val="26"/>
        </w:rPr>
        <w:t xml:space="preserve">Proceedings in Which Interventions, Protests, or Comments Were Not Filed by EPMI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PG&amp;E National Energy Group, Inc., et al.</w:t>
      </w:r>
      <w:r>
        <w:rPr>
          <w:rFonts w:eastAsia="Times New Roman" w:cs="Times New Roman" w:ascii="Times New Roman" w:hAnsi="Times New Roman"/>
          <w:b/>
          <w:bCs/>
          <w:color w:val="000000"/>
          <w:sz w:val="24"/>
          <w:szCs w:val="24"/>
        </w:rPr>
        <w:t xml:space="preserve">, Docket No. EC01-41-000 and </w:t>
      </w:r>
      <w:r>
        <w:rPr>
          <w:rFonts w:eastAsia="Times New Roman" w:cs="Times New Roman" w:ascii="Times New Roman" w:hAnsi="Times New Roman"/>
          <w:b/>
          <w:bCs/>
          <w:i/>
          <w:iCs/>
          <w:color w:val="000000"/>
          <w:sz w:val="24"/>
          <w:szCs w:val="24"/>
        </w:rPr>
        <w:t>PG&amp;E National Energy Group, LLC et al.</w:t>
      </w:r>
      <w:r>
        <w:rPr>
          <w:rFonts w:eastAsia="Times New Roman" w:cs="Times New Roman" w:ascii="Times New Roman" w:hAnsi="Times New Roman"/>
          <w:b/>
          <w:bCs/>
          <w:color w:val="000000"/>
          <w:sz w:val="24"/>
          <w:szCs w:val="24"/>
        </w:rPr>
        <w:t>, Docket No. EC01-49-000</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On December 28, 2000, PG&amp;E National Energy Group, Inc. ("NEG, Inc.") and PG&amp;E National Energy Group LLC ("NEG LLC") filed an application for a reorganization to change the upstream ownership of the subsidiaries' jurisdictional facilities.  Under this reorganization, NEG LLC, a limited-liability unit, would be created for PG&amp;E Corp.'s non-regulated companies.  Included in the new unit will be Athens Generating Co., Badger Generating Co., Hermiston Generating Co.,</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Lake Road Generating Co., La Poloma Generating Co., Liberty Generating Co., Madison Windpower, Mantua Creek Generating Co., PG&amp;E Dispersed Generating Co., PG&amp;E Energy Trading-Power, Pittsfield Generating Co., and USGen New England Inc.  NEG LLC would be inserted between PG&amp;E Corp. and its direct, wholly-owned subsidiary NEG, Inc.  The stated purpose of this reorganization was to facilitate the credit rating and future financing for NEG, Inc, although industry insiders viewed the reorganization as a means to shield the assets of PG&amp;E Corp.'s unregulated subsidiaries from PG&amp;E's creditors</w:t>
      </w:r>
      <w:r>
        <w:rPr>
          <w:rFonts w:eastAsia="Times New Roman" w:cs="Times New Roman" w:ascii="Times New Roman" w:hAnsi="Times New Roman"/>
          <w:color w:val="000000"/>
          <w:sz w:val="24"/>
          <w:szCs w:val="24"/>
        </w:rPr>
        <w:t>, including billions of dollars in investments financed with the proceeds that PG&amp;E Corp. realized on the sale of its thermal generating units.</w:t>
      </w:r>
      <w:r>
        <w:rPr>
          <w:rFonts w:eastAsia="Times New Roman" w:cs="Times New Roman" w:ascii="Times New Roman" w:hAnsi="Times New Roman"/>
          <w:color w:val="000000"/>
          <w:sz w:val="24"/>
          <w:szCs w:val="24"/>
        </w:rPr>
        <w:t xml:space="preserve">  FERC approved this reorganization by letter order dated January 12, 2001.</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San Diego Gas and Electric Co. v. Sellers of Energy and Ancillary Services into Markets Operated by the California Independent System Operator and the California Power Exchange</w:t>
      </w:r>
      <w:r>
        <w:rPr>
          <w:rFonts w:eastAsia="Times New Roman" w:cs="Times New Roman" w:ascii="Times New Roman" w:hAnsi="Times New Roman"/>
          <w:b/>
          <w:bCs/>
          <w:color w:val="000000"/>
          <w:sz w:val="24"/>
          <w:szCs w:val="24"/>
        </w:rPr>
        <w:t>, Docket Nos. EL00-95-007, et al.</w:t>
      </w:r>
      <w:r>
        <w:rPr>
          <w:rFonts w:eastAsia="Times New Roman" w:cs="Times New Roman" w:ascii="Times New Roman" w:hAnsi="Times New Roman"/>
          <w:color w:val="000000"/>
          <w:sz w:val="24"/>
          <w:szCs w:val="24"/>
        </w:rPr>
        <w:t xml:space="preserve">  San Diego Gas and Electric Company, SCE, PG&amp;E, CalPX, and CAISO submitted filings in compliance with the December 15, 2000 order. EPMI intervened in the initial filing in the underlying proceeding in Docket No. EL00-95-000, but did not file in response to the compliance filings.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Dynegy Power Marketing, Inc. et al. v. California Independent System Operator Corporation</w:t>
      </w:r>
      <w:r>
        <w:rPr>
          <w:rFonts w:eastAsia="Times New Roman" w:cs="Times New Roman" w:ascii="Times New Roman" w:hAnsi="Times New Roman"/>
          <w:b/>
          <w:bCs/>
          <w:color w:val="000000"/>
          <w:sz w:val="24"/>
          <w:szCs w:val="24"/>
        </w:rPr>
        <w:t>, Docket No. EL01-23-000.</w:t>
      </w:r>
      <w:r>
        <w:rPr>
          <w:rFonts w:eastAsia="Times New Roman" w:cs="Times New Roman" w:ascii="Times New Roman" w:hAnsi="Times New Roman"/>
          <w:color w:val="000000"/>
          <w:sz w:val="24"/>
          <w:szCs w:val="24"/>
        </w:rPr>
        <w:t xml:space="preserve">  On December 22, Dynegy Power Marketing, Inc., Long Beach Generation, LLC, Cabrillo Power I LLC, and Cabrillo Power II LLC filed a Fast Track Complaint regarding the appropriate pricing and use of out-of-market ("OOM") calls by the CAISO.  The Complainants alleged that the OOM rates were unjust and unreasonable, and that the CAISO intentionally misused these provisions of its tariff by readily negotiating rates with out-of-state generators and marketers, while holding similarly situated in-state participants to the unjust and unreasonable OOM rates.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Pacific Gas and Electric Company v. California Power Exchange</w:t>
      </w:r>
      <w:r>
        <w:rPr>
          <w:rFonts w:eastAsia="Times New Roman" w:cs="Times New Roman" w:ascii="Times New Roman" w:hAnsi="Times New Roman"/>
          <w:b/>
          <w:bCs/>
          <w:color w:val="000000"/>
          <w:sz w:val="24"/>
          <w:szCs w:val="24"/>
        </w:rPr>
        <w:t>, Docket No. EL01-29-000.</w:t>
      </w:r>
      <w:r>
        <w:rPr>
          <w:rFonts w:eastAsia="Times New Roman" w:cs="Times New Roman" w:ascii="Times New Roman" w:hAnsi="Times New Roman"/>
          <w:color w:val="000000"/>
          <w:sz w:val="24"/>
          <w:szCs w:val="24"/>
        </w:rPr>
        <w:t xml:space="preserve">  On January 23, PG&amp;E filed a motion for an immediate order directing the CalPX to stay any attempted liquidation of PG&amp;E's BFM positions.  PG&amp;E also requested that FERC order an accounting of invoices issued by the CalPX to PG&amp;E.  PG&amp;E alleged that the CalPX had illegally withheld an $101 million payment to PG&amp;E in order to cover the default of SCE.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California Independent System Operator Corporation</w:t>
      </w:r>
      <w:r>
        <w:rPr>
          <w:rFonts w:eastAsia="Times New Roman" w:cs="Times New Roman" w:ascii="Times New Roman" w:hAnsi="Times New Roman"/>
          <w:b/>
          <w:bCs/>
          <w:color w:val="000000"/>
          <w:sz w:val="24"/>
          <w:szCs w:val="24"/>
        </w:rPr>
        <w:t>, Docket No. ER01-889-000</w:t>
      </w:r>
      <w:r>
        <w:rPr>
          <w:rFonts w:eastAsia="Times New Roman" w:cs="Times New Roman" w:ascii="Times New Roman" w:hAnsi="Times New Roman"/>
          <w:color w:val="000000"/>
          <w:sz w:val="24"/>
          <w:szCs w:val="24"/>
        </w:rPr>
        <w:t>.  On January 4, 2001, the CAISO filed Amendment No. 36, which proposed to relax the creditworthiness standards of its tariff to allow SCE and PG&amp;E to continue to participate in the California markets, despite their sinking credit ratings.  On February 14, 2001, FERC issued an order accepting this Amendment in part.  FERC upheld the Amendment to the extent that SCE and PG&amp;E utilized their own transmission facilities to serve their own load, but rejected the Amendment to the extent that it allowed SCE and PG&amp;E to continue to schedule transactions with third-party suppliers, without adequate assurances of payment.  FERC directed CAISO to modify its filing to require that SCE and PG&amp;E obtain financial backing from creditworthy parties when dealing with third-party suppliers.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California Power Exchange</w:t>
      </w:r>
      <w:r>
        <w:rPr>
          <w:rFonts w:eastAsia="Times New Roman" w:cs="Times New Roman" w:ascii="Times New Roman" w:hAnsi="Times New Roman"/>
          <w:b/>
          <w:bCs/>
          <w:color w:val="000000"/>
          <w:sz w:val="24"/>
          <w:szCs w:val="24"/>
        </w:rPr>
        <w:t>, Docket No. ER01-902-000.</w:t>
      </w:r>
      <w:r>
        <w:rPr>
          <w:rFonts w:eastAsia="Times New Roman" w:cs="Times New Roman" w:ascii="Times New Roman" w:hAnsi="Times New Roman"/>
          <w:color w:val="000000"/>
          <w:sz w:val="24"/>
          <w:szCs w:val="24"/>
        </w:rPr>
        <w:t xml:space="preserve">  On January 5, the CalPX filed Amendment No. 22, which also relaxed the creditworthiness provisions of its tariff for the same purpose as the CAISO Amendment No. 36 discussed immediately above.  On February 14, 2001, FERC rejected the CalPX's Amendment because of its effect on third parties, finding that a lowering of the creditworthiness standards would involve an "inappropriate unilateral shifting of unacceptable financial risks to both large and small third-party suppliers."  On February 28, the CalPX filed a request for clarification, or in the alternative request for rehearing of the February 14, 2001 order, seeking, among other things, a FERC determination that it acted reasonably in allowing SCE and PG&amp;E to continue to participate in the market.  EPMI, along with other CalPX participants, had planned on filing a motion to intervene out of time, and an answer to the CalPX's clarification request on March 13; however, the CalPX's bankruptcy filing may have triggered the automatic stay provisions of the bankruptcy code that would prohibit such a filing.  As a precaution, we filed instead a letter indicating our intent to make a substantive response to the CalPX's request for clarification, referred to as a "suggestion of bankruptcy," once questions surrounding the automatic stay are resolved.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3"/>
        </w:numPr>
        <w:tabs>
          <w:tab w:val="clear" w:pos="720"/>
          <w:tab w:val="left" w:pos="720" w:leader="none"/>
        </w:tabs>
        <w:bidi w:val="0"/>
        <w:spacing w:lineRule="auto" w:line="240" w:before="0" w:after="0"/>
        <w:ind w:hanging="720" w:start="720" w:end="0"/>
        <w:jc w:val="both"/>
        <w:rPr>
          <w:rFonts w:ascii="Times New Roman" w:hAnsi="Times New Roman" w:eastAsia="Times New Roman" w:cs="Times New Roman"/>
          <w:b/>
          <w:bCs/>
          <w:i/>
          <w:i/>
          <w:iCs/>
          <w:color w:val="000000"/>
          <w:sz w:val="26"/>
          <w:szCs w:val="26"/>
        </w:rPr>
      </w:pPr>
      <w:r>
        <w:rPr>
          <w:rFonts w:eastAsia="Times New Roman" w:cs="Times New Roman" w:ascii="Times New Roman" w:hAnsi="Times New Roman"/>
          <w:b/>
          <w:bCs/>
          <w:i/>
          <w:iCs/>
          <w:color w:val="000000"/>
          <w:sz w:val="26"/>
          <w:szCs w:val="26"/>
        </w:rPr>
        <w:t>Proceedings in Which Interventions, Protests, and Comments Are Not Yet Due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Tucson Electric Power Co. v. Governor Gray Davis</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i/>
          <w:iCs/>
          <w:color w:val="000000"/>
          <w:sz w:val="24"/>
          <w:szCs w:val="24"/>
        </w:rPr>
        <w:t>et al.</w:t>
      </w:r>
      <w:r>
        <w:rPr>
          <w:rFonts w:eastAsia="Times New Roman" w:cs="Times New Roman" w:ascii="Times New Roman" w:hAnsi="Times New Roman"/>
          <w:b/>
          <w:bCs/>
          <w:color w:val="000000"/>
          <w:sz w:val="24"/>
          <w:szCs w:val="24"/>
        </w:rPr>
        <w:t>, Docket No. EL01-40-000.</w:t>
      </w:r>
      <w:r>
        <w:rPr>
          <w:rFonts w:eastAsia="Times New Roman" w:cs="Times New Roman" w:ascii="Times New Roman" w:hAnsi="Times New Roman"/>
          <w:color w:val="000000"/>
          <w:sz w:val="24"/>
          <w:szCs w:val="24"/>
        </w:rPr>
        <w:t xml:space="preserve">  On  February 27, Tucson filed a Fast Track Complaint challenging the commandeering of SCE's BFM contracts by Governor Gray Davis.  </w:t>
      </w:r>
      <w:r>
        <w:rPr>
          <w:rFonts w:eastAsia="Times New Roman" w:cs="Times New Roman" w:ascii="Times New Roman" w:hAnsi="Times New Roman"/>
          <w:b/>
          <w:bCs/>
          <w:color w:val="000000"/>
          <w:sz w:val="24"/>
          <w:szCs w:val="24"/>
        </w:rPr>
        <w:t>Interventions are due on March 19, 2001.</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Strategic Energy L.L.C. v. California Independent System Operator Corporation</w:t>
      </w:r>
      <w:r>
        <w:rPr>
          <w:rFonts w:eastAsia="Times New Roman" w:cs="Times New Roman" w:ascii="Times New Roman" w:hAnsi="Times New Roman"/>
          <w:b/>
          <w:bCs/>
          <w:color w:val="000000"/>
          <w:sz w:val="24"/>
          <w:szCs w:val="24"/>
        </w:rPr>
        <w:t>, Docket No. EL01-41-000.</w:t>
      </w:r>
      <w:r>
        <w:rPr>
          <w:rFonts w:eastAsia="Times New Roman" w:cs="Times New Roman" w:ascii="Times New Roman" w:hAnsi="Times New Roman"/>
          <w:color w:val="000000"/>
          <w:sz w:val="24"/>
          <w:szCs w:val="24"/>
        </w:rPr>
        <w:t xml:space="preserve">  On February 28, Strategic Energy filed a Fast Track Complaint and a request for interim relief alleging that the CAISO erroneously invoiced Strategic Energy for forward market purchases that may not be properly attributable to Strategic Energy.  Strategic Energy further alleged that the CAISO withheld, in violation of its tariff, certain information that addresses Strategic Energy's concern, and requests FERC to require the CAISO to provide the information necessary to support the CAISO's claim for payment.  </w:t>
      </w:r>
      <w:r>
        <w:rPr>
          <w:rFonts w:eastAsia="Times New Roman" w:cs="Times New Roman" w:ascii="Times New Roman" w:hAnsi="Times New Roman"/>
          <w:b/>
          <w:bCs/>
          <w:color w:val="000000"/>
          <w:sz w:val="24"/>
          <w:szCs w:val="24"/>
        </w:rPr>
        <w:t>Interventions are due on March 20, 2001.</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Universal Studios, Inc. v. Southern California Edison Company</w:t>
      </w:r>
      <w:r>
        <w:rPr>
          <w:rFonts w:eastAsia="Times New Roman" w:cs="Times New Roman" w:ascii="Times New Roman" w:hAnsi="Times New Roman"/>
          <w:b/>
          <w:bCs/>
          <w:color w:val="000000"/>
          <w:sz w:val="24"/>
          <w:szCs w:val="24"/>
        </w:rPr>
        <w:t>, Docket No. EL01-42-000.</w:t>
      </w:r>
      <w:r>
        <w:rPr>
          <w:rFonts w:eastAsia="Times New Roman" w:cs="Times New Roman" w:ascii="Times New Roman" w:hAnsi="Times New Roman"/>
          <w:color w:val="000000"/>
          <w:sz w:val="24"/>
          <w:szCs w:val="24"/>
        </w:rPr>
        <w:t xml:space="preserve">  On March 2, Universal Studios filed a complaint alleging that SCE willfully and knowingly underscheduled SCE's expected demand for power; that is, SCE failed to schedule at least 95 percent of the power necessary to meet the needs of all its customers, causing, in turn, a curtailment of Universal Studios' power supply.  Universal Studios alleged that SCE's deliberate acts leading to the interruption of its power supply affects its ability to conduct its business operations, because it is required to shut down operations, or pay a penalty.  </w:t>
      </w:r>
      <w:r>
        <w:rPr>
          <w:rFonts w:eastAsia="Times New Roman" w:cs="Times New Roman" w:ascii="Times New Roman" w:hAnsi="Times New Roman"/>
          <w:b/>
          <w:bCs/>
          <w:color w:val="000000"/>
          <w:sz w:val="24"/>
          <w:szCs w:val="24"/>
        </w:rPr>
        <w:t>Interventions are due on March 22.</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Public Service Company of New Mexico v. California Power Exchange</w:t>
      </w:r>
      <w:r>
        <w:rPr>
          <w:rFonts w:eastAsia="Times New Roman" w:cs="Times New Roman" w:ascii="Times New Roman" w:hAnsi="Times New Roman"/>
          <w:b/>
          <w:bCs/>
          <w:color w:val="000000"/>
          <w:sz w:val="24"/>
          <w:szCs w:val="24"/>
        </w:rPr>
        <w:t>, Docket No. EL01-43-000.</w:t>
      </w:r>
      <w:r>
        <w:rPr>
          <w:rFonts w:eastAsia="Times New Roman" w:cs="Times New Roman" w:ascii="Times New Roman" w:hAnsi="Times New Roman"/>
          <w:color w:val="000000"/>
          <w:sz w:val="24"/>
          <w:szCs w:val="24"/>
        </w:rPr>
        <w:t xml:space="preserve">  On March 2, Public Service Company of New Mexico ("PSNM") filed a Fast Track complaint requesting suspension of  the CalPX's use of the chargeback to collect from the non-defaulting market participants, the debts of the defaulting participants.  Although PSNM refused to pay the chargeback invoices, PSNM seeks to protect its $3 million letter of credit, upon which the CalPX could immediately draw.  PSNM stated that if the CalPX were to draw upon this letter of credit, and it were later determined that the CalPX wrongfully employed the chargeback mechanism, PSNM would suffer great financial harm because it would most likely be unable to recover all or a portion of its $3 million from the CalPX, due to the CalPX's precarious financial position.  I</w:t>
      </w:r>
      <w:r>
        <w:rPr>
          <w:rFonts w:eastAsia="Times New Roman" w:cs="Times New Roman" w:ascii="Times New Roman" w:hAnsi="Times New Roman"/>
          <w:b/>
          <w:bCs/>
          <w:color w:val="000000"/>
          <w:sz w:val="24"/>
          <w:szCs w:val="24"/>
        </w:rPr>
        <w:t>nterventions are due on March 22.</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pPr>
      <w:r>
        <w:rPr>
          <w:rFonts w:eastAsia="Times New Roman" w:cs="Times New Roman" w:ascii="Times New Roman" w:hAnsi="Times New Roman"/>
          <w:b/>
          <w:bCs/>
          <w:i/>
          <w:iCs/>
          <w:color w:val="000000"/>
          <w:sz w:val="24"/>
          <w:szCs w:val="24"/>
        </w:rPr>
        <w:t>San Diego Gas and Electric Co. v. Sellers of Energy and Ancillary Services into Markets Operated by the California Independent System Operator and the California Power Exchange</w:t>
      </w:r>
      <w:r>
        <w:rPr>
          <w:rFonts w:eastAsia="Times New Roman" w:cs="Times New Roman" w:ascii="Times New Roman" w:hAnsi="Times New Roman"/>
          <w:b/>
          <w:bCs/>
          <w:color w:val="000000"/>
          <w:sz w:val="24"/>
          <w:szCs w:val="24"/>
        </w:rPr>
        <w:t>, Docket Nos. EL00-95-012, et al.</w:t>
      </w:r>
      <w:r>
        <w:rPr>
          <w:rFonts w:eastAsia="Times New Roman" w:cs="Times New Roman" w:ascii="Times New Roman" w:hAnsi="Times New Roman"/>
          <w:color w:val="000000"/>
          <w:sz w:val="24"/>
          <w:szCs w:val="24"/>
        </w:rPr>
        <w:t xml:space="preserve">  Comments to the Commission's Staff's recommendations for prospective market monitoring and mitigation for the California wholesale market </w:t>
      </w:r>
      <w:r>
        <w:rPr>
          <w:rFonts w:eastAsia="Times New Roman" w:cs="Times New Roman" w:ascii="Times New Roman" w:hAnsi="Times New Roman"/>
          <w:b/>
          <w:bCs/>
          <w:color w:val="000000"/>
          <w:sz w:val="24"/>
          <w:szCs w:val="24"/>
        </w:rPr>
        <w:t>due on March 22, 2001.</w:t>
      </w:r>
      <w:r>
        <w:rPr>
          <w:rFonts w:eastAsia="Times New Roman" w:cs="Times New Roman" w:ascii="Times New Roman" w:hAnsi="Times New Roman"/>
          <w:color w:val="000000"/>
          <w:sz w:val="24"/>
          <w:szCs w:val="24"/>
        </w:rPr>
        <w:t xml:space="preserve">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Please contact me at (202) 828-5872 if you have any questions surrounding the foregoing.</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RNC</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/kac</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139365</w:t>
      </w:r>
    </w:p>
    <w:sectPr>
      <w:headerReference w:type="default" r:id="rId2"/>
      <w:type w:val="nextPage"/>
      <w:pgSz w:w="12240" w:h="15840"/>
      <w:pgMar w:left="1440" w:right="1440" w:gutter="0" w:header="960" w:top="1788" w:footer="0" w:bottom="100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Memorandum to Jim Steffes and Richard Sanders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March 13, 2001</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Page </w:t>
    </w:r>
    <w:r>
      <w:rPr>
        <w:rFonts w:eastAsia="Times New Roman" w:cs="Times New Roman" w:ascii="Times New Roman" w:hAnsi="Times New Roman"/>
        <w:color w:val="000000"/>
        <w:sz w:val="24"/>
        <w:szCs w:val="24"/>
      </w:rPr>
      <w:fldChar w:fldCharType="begin"/>
    </w:r>
    <w:r>
      <w:rPr>
        <w:sz w:val="24"/>
        <w:szCs w:val="24"/>
        <w:rFonts w:eastAsia="Times New Roman" w:cs="Times New Roman" w:ascii="Times New Roman" w:hAnsi="Times New Roman"/>
        <w:color w:val="000000"/>
      </w:rPr>
      <w:instrText xml:space="preserve"> PAGE \* ARABIC </w:instrText>
    </w:r>
    <w:r>
      <w:rPr>
        <w:sz w:val="24"/>
        <w:szCs w:val="24"/>
        <w:rFonts w:eastAsia="Times New Roman" w:cs="Times New Roman" w:ascii="Times New Roman" w:hAnsi="Times New Roman"/>
        <w:color w:val="000000"/>
      </w:rPr>
      <w:fldChar w:fldCharType="separate"/>
    </w:r>
    <w:r>
      <w:rPr>
        <w:sz w:val="24"/>
        <w:szCs w:val="24"/>
        <w:rFonts w:eastAsia="Times New Roman" w:cs="Times New Roman" w:ascii="Times New Roman" w:hAnsi="Times New Roman"/>
        <w:color w:val="000000"/>
      </w:rPr>
      <w:t>5</w:t>
    </w:r>
    <w:r>
      <w:rPr>
        <w:sz w:val="24"/>
        <w:szCs w:val="24"/>
        <w:rFonts w:eastAsia="Times New Roman" w:cs="Times New Roman" w:ascii="Times New Roman" w:hAnsi="Times New Roman"/>
        <w:color w:val="00000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NumberingSymbols">
    <w:name w:val="Numbering_Symbol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