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The Files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Transaction Accounting</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Transaction Support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Project Nikita Memo</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The purpose of this memorandum is to document the accounting issues and resolutions regarding the proposed SFAS 140 transaction related to the investment that Enron holds in common units, subordinated units and additional partnership interests (“APIs”) of EOTT.</w:t>
      </w:r>
    </w:p>
    <w:p>
      <w:pPr>
        <w:pStyle w:val="Body"/>
        <w:rPr/>
      </w:pPr>
      <w:r>
        <w:rPr/>
      </w:r>
    </w:p>
    <w:p>
      <w:pPr>
        <w:pStyle w:val="Body"/>
        <w:rPr>
          <w:b/>
          <w:bCs/>
          <w:u w:val="single"/>
        </w:rPr>
      </w:pPr>
      <w:r>
        <w:rPr>
          <w:b/>
          <w:bCs/>
          <w:u w:val="single"/>
        </w:rPr>
        <w:t>Background</w:t>
      </w:r>
    </w:p>
    <w:p>
      <w:pPr>
        <w:pStyle w:val="Body"/>
        <w:rPr>
          <w:b/>
          <w:bCs/>
          <w:u w:val="single"/>
        </w:rPr>
      </w:pPr>
      <w:r>
        <w:rPr>
          <w:b/>
          <w:bCs/>
          <w:u w:val="single"/>
        </w:rPr>
      </w:r>
    </w:p>
    <w:p>
      <w:pPr>
        <w:pStyle w:val="Body"/>
        <w:rPr/>
      </w:pPr>
      <w:r>
        <w:rPr/>
        <w:t>EOTT Energy Partners, L.P. (“EOTT”) is a Delaware limited partnership is engaged in the purchasing, gathering, transporting, trading, storage and resale of crude oil, refined petroleum products and natural gas liquids.  EOTT owns approximately 8200 miles of gathering and transmission pipelines, 7,438 miles of which are related to common carrier pipelines utilized by EOTT and other third parties.  EOTT also owns or leases a fleet of approximately 285 trucks to gather and transport its marketed products.</w:t>
      </w:r>
    </w:p>
    <w:p>
      <w:pPr>
        <w:pStyle w:val="Body"/>
        <w:rPr/>
      </w:pPr>
      <w:r>
        <w:rPr/>
      </w:r>
    </w:p>
    <w:p>
      <w:pPr>
        <w:pStyle w:val="Body"/>
        <w:rPr/>
      </w:pPr>
      <w:r>
        <w:rPr/>
        <w:t>EOTT Energy Corp., a wholly-owned subsidiary of Enron, serves as the general partner of EOTT.  Enron, through various subsidiaries, owns an approximate 2% general partnership interest in EOTT, an approximate 25% subordinated limited partnership interest (consisting of 7 million sub units) and an approximate 12% interest in EOTT through its ownership of 3,276,811 common units which are currently trading in the $23 range.  Additionally, there are approximately 15.2 million publicly traded common units outstanding and Koch owns an additional 2 million subordinated limited partner units.  Enron’s common units currently are not registered and cannot be freely traded in the market until registered or over time in a Section 144 sale. Under certain circumstances specified in the partnership agreement, the subordinated units may be converted into common units on a one-for-one basis.  In December 1999, Enron funded $9.3 million in distribution support to EOTT in exchange for APIs.  Under the partnership agreement, APIs are included in the waterfall of cash flow distributions after common unitholders and subordinated unitholders have been paid the minimum quarterly distribution.  Historically, these APIs have been converted into common units upon agreement between Enron and EOTT on the appropriate conversion.  The book value of Enron’s current investment in EOTT’s common units, subordinated units and general partnership interest is approximately $62 million.</w:t>
      </w:r>
    </w:p>
    <w:p>
      <w:pPr>
        <w:pStyle w:val="Body"/>
        <w:rPr/>
      </w:pPr>
      <w:r>
        <w:rPr/>
      </w:r>
    </w:p>
    <w:p>
      <w:pPr>
        <w:pStyle w:val="Body"/>
        <w:rPr/>
      </w:pPr>
      <w:r>
        <w:rPr/>
        <w:t>Enron and Koch have executed an agreement with EOTT to convert their subordinated units and Enron’s APIs into common units.  Under the agreement, Enron will receive 3,369,815 million common units for its existing subordinated units and APIs and Koch will receive 900,000 common units for its existing subordinated units.  This agreement is subject to unitholder consent for which a proxy statement has been filed with the SEC to solicit such consent.  Under the agreement, Enron’s existing common units and the additional common units will be locked up for 180 days from the unitholder vote.</w:t>
      </w:r>
    </w:p>
    <w:p>
      <w:pPr>
        <w:pStyle w:val="Body"/>
        <w:rPr/>
      </w:pPr>
      <w:r>
        <w:rPr/>
      </w:r>
    </w:p>
    <w:p>
      <w:pPr>
        <w:pStyle w:val="Body"/>
        <w:rPr/>
      </w:pPr>
      <w:r>
        <w:rPr/>
        <w:t>Enron is currently contemplating a sale of the common units, subordinated units and APIs in a SFAS 140 transaction.</w:t>
      </w:r>
      <w:r>
        <w:br w:type="page"/>
      </w:r>
    </w:p>
    <w:p>
      <w:pPr>
        <w:pStyle w:val="Body"/>
        <w:rPr/>
      </w:pPr>
      <w:r>
        <w:rPr/>
      </w:r>
    </w:p>
    <w:p>
      <w:pPr>
        <w:pStyle w:val="Body"/>
        <w:rPr>
          <w:b/>
          <w:bCs/>
          <w:u w:val="single"/>
        </w:rPr>
      </w:pPr>
      <w:r>
        <w:rPr>
          <w:b/>
          <w:bCs/>
          <w:u w:val="single"/>
        </w:rPr>
        <w:t>Issues:</w:t>
      </w:r>
    </w:p>
    <w:p>
      <w:pPr>
        <w:pStyle w:val="Body"/>
        <w:rPr>
          <w:b/>
          <w:bCs/>
          <w:u w:val="single"/>
        </w:rPr>
      </w:pPr>
      <w:r>
        <w:rPr>
          <w:b/>
          <w:bCs/>
          <w:u w:val="single"/>
        </w:rPr>
      </w:r>
    </w:p>
    <w:p>
      <w:pPr>
        <w:pStyle w:val="Body"/>
        <w:numPr>
          <w:ilvl w:val="0"/>
          <w:numId w:val="2"/>
        </w:numPr>
        <w:rPr/>
      </w:pPr>
      <w:r>
        <w:rPr/>
        <w:t>Is the investment in EOTT deemed to be an in substance real estate investment?</w:t>
      </w:r>
    </w:p>
    <w:p>
      <w:pPr>
        <w:pStyle w:val="Body"/>
        <w:numPr>
          <w:ilvl w:val="0"/>
          <w:numId w:val="2"/>
        </w:numPr>
        <w:rPr/>
      </w:pPr>
      <w:r>
        <w:rPr/>
        <w:t>Would the total return swap in the SFAS 140 transaction prevent EGM from recording the MTM position that was previously reserved due to the economics received by Enron in association with these ownership interests?</w:t>
      </w:r>
    </w:p>
    <w:p>
      <w:pPr>
        <w:pStyle w:val="Body"/>
        <w:numPr>
          <w:ilvl w:val="0"/>
          <w:numId w:val="2"/>
        </w:numPr>
        <w:rPr/>
      </w:pPr>
      <w:r>
        <w:rPr/>
        <w:t>Can there be a purchase price adjustment with a floor in a SFAS 140 transaction?</w:t>
      </w:r>
    </w:p>
    <w:p>
      <w:pPr>
        <w:pStyle w:val="Body"/>
        <w:numPr>
          <w:ilvl w:val="0"/>
          <w:numId w:val="2"/>
        </w:numPr>
        <w:rPr/>
      </w:pPr>
      <w:r>
        <w:rPr/>
        <w:t>If there is a purchase price adjustment with a floor, do we have to have a cap?</w:t>
      </w:r>
    </w:p>
    <w:p>
      <w:pPr>
        <w:pStyle w:val="Body"/>
        <w:numPr>
          <w:ilvl w:val="0"/>
          <w:numId w:val="2"/>
        </w:numPr>
        <w:rPr/>
      </w:pPr>
      <w:r>
        <w:rPr/>
        <w:t>If we are required to have a cap, how much equity must be funded in the SPE at closing?</w:t>
      </w:r>
    </w:p>
    <w:p>
      <w:pPr>
        <w:pStyle w:val="Body"/>
        <w:numPr>
          <w:ilvl w:val="0"/>
          <w:numId w:val="2"/>
        </w:numPr>
        <w:rPr/>
      </w:pPr>
      <w:r>
        <w:rPr/>
        <w:t>Assuming we have a cap and we have to fund the full 3% of the cap at closing, can we refund the difference between the adjusted price and the cap once the purchase price adjustment is known?</w:t>
      </w:r>
    </w:p>
    <w:p>
      <w:pPr>
        <w:pStyle w:val="Body"/>
        <w:numPr>
          <w:ilvl w:val="0"/>
          <w:numId w:val="2"/>
        </w:numPr>
        <w:rPr/>
      </w:pPr>
      <w:r>
        <w:rPr/>
        <w:t>If a partial sale of shares is made at the Asset LLC level, can the proceeds be distributed on a pro rata basis (97/3) to debt and equity?</w:t>
      </w:r>
    </w:p>
    <w:p>
      <w:pPr>
        <w:pStyle w:val="Body"/>
        <w:numPr>
          <w:ilvl w:val="0"/>
          <w:numId w:val="2"/>
        </w:numPr>
        <w:rPr/>
      </w:pPr>
      <w:r>
        <w:rPr/>
        <w:t>Can a special distribution be made to the equity holders during the term of the agreement if there are GAAP earnings to substantiate such distribution?</w:t>
      </w:r>
    </w:p>
    <w:p>
      <w:pPr>
        <w:pStyle w:val="Body"/>
        <w:numPr>
          <w:ilvl w:val="0"/>
          <w:numId w:val="2"/>
        </w:numPr>
        <w:rPr/>
      </w:pPr>
      <w:r>
        <w:rPr/>
        <w:t>How should fees paid by Enron be considered when determining the appropriate amount of equity to fund into the trust?</w:t>
      </w:r>
    </w:p>
    <w:p>
      <w:pPr>
        <w:pStyle w:val="Body"/>
        <w:rPr/>
      </w:pPr>
      <w:r>
        <w:rPr/>
      </w:r>
    </w:p>
    <w:p>
      <w:pPr>
        <w:pStyle w:val="Body"/>
        <w:rPr>
          <w:b/>
          <w:bCs/>
          <w:u w:val="single"/>
        </w:rPr>
      </w:pPr>
      <w:r>
        <w:rPr>
          <w:b/>
          <w:bCs/>
          <w:u w:val="single"/>
        </w:rPr>
        <w:t>Authoritative Literature:</w:t>
      </w:r>
    </w:p>
    <w:p>
      <w:pPr>
        <w:pStyle w:val="Body"/>
        <w:rPr>
          <w:b/>
          <w:bCs/>
          <w:u w:val="single"/>
        </w:rPr>
      </w:pPr>
      <w:r>
        <w:rPr>
          <w:b/>
          <w:bCs/>
          <w:u w:val="single"/>
        </w:rPr>
      </w:r>
    </w:p>
    <w:p>
      <w:pPr>
        <w:pStyle w:val="Body"/>
        <w:rPr/>
      </w:pPr>
      <w:r>
        <w:rPr>
          <w:b/>
          <w:bCs/>
        </w:rPr>
        <w:t xml:space="preserve">SFAS No. 66, </w:t>
      </w:r>
      <w:r>
        <w:rPr/>
        <w:t>“Accouting for Sales of Real Estate”</w:t>
      </w:r>
    </w:p>
    <w:p>
      <w:pPr>
        <w:pStyle w:val="Body"/>
        <w:rPr/>
      </w:pPr>
      <w:r>
        <w:rPr>
          <w:b/>
          <w:bCs/>
        </w:rPr>
        <w:t xml:space="preserve">FIN 43, </w:t>
      </w:r>
      <w:r>
        <w:rPr/>
        <w:t>“Real Estate Sales – an Interpretation of SFAS No. 66”</w:t>
      </w:r>
    </w:p>
    <w:p>
      <w:pPr>
        <w:pStyle w:val="Body"/>
        <w:rPr/>
      </w:pPr>
      <w:r>
        <w:rPr>
          <w:b/>
          <w:bCs/>
        </w:rPr>
        <w:t xml:space="preserve">EITF 98-08, </w:t>
      </w:r>
      <w:r>
        <w:rPr/>
        <w:t>“Accounting for Transfers of Investments that are in Substance Real Estate”</w:t>
      </w:r>
    </w:p>
    <w:p>
      <w:pPr>
        <w:pStyle w:val="Body"/>
        <w:rPr/>
      </w:pPr>
      <w:r>
        <w:rPr>
          <w:b/>
          <w:bCs/>
        </w:rPr>
        <w:t xml:space="preserve">SFAS No. 140, </w:t>
      </w:r>
      <w:r>
        <w:rPr/>
        <w:t>“Accounting for Transfers and Servicing of Financial Assets and Extinguishments of Liabilities”</w:t>
      </w:r>
    </w:p>
    <w:p>
      <w:pPr>
        <w:pStyle w:val="Body"/>
        <w:rPr/>
      </w:pPr>
      <w:r>
        <w:rPr>
          <w:b/>
          <w:bCs/>
        </w:rPr>
        <w:t xml:space="preserve">EITF 90-15, </w:t>
      </w:r>
      <w:r>
        <w:rPr/>
        <w:t>“Impact of Nonsubstantive Lessors, Residual Value Guarantees and Other Provisions in Leasing Transactions”</w:t>
      </w:r>
    </w:p>
    <w:p>
      <w:pPr>
        <w:pStyle w:val="Body"/>
        <w:rPr/>
      </w:pPr>
      <w:r>
        <w:rPr/>
      </w:r>
    </w:p>
    <w:p>
      <w:pPr>
        <w:pStyle w:val="Body"/>
        <w:rPr>
          <w:b/>
          <w:bCs/>
          <w:u w:val="single"/>
        </w:rPr>
      </w:pPr>
      <w:r>
        <w:rPr>
          <w:b/>
          <w:bCs/>
          <w:u w:val="single"/>
        </w:rPr>
        <w:t>Discussion:</w:t>
      </w:r>
    </w:p>
    <w:p>
      <w:pPr>
        <w:pStyle w:val="Body"/>
        <w:rPr>
          <w:b/>
          <w:bCs/>
          <w:u w:val="single"/>
        </w:rPr>
      </w:pPr>
      <w:r>
        <w:rPr>
          <w:b/>
          <w:bCs/>
          <w:u w:val="single"/>
        </w:rPr>
      </w:r>
    </w:p>
    <w:p>
      <w:pPr>
        <w:pStyle w:val="Body"/>
        <w:rPr>
          <w:b/>
          <w:bCs/>
        </w:rPr>
      </w:pPr>
      <w:r>
        <w:rPr>
          <w:b/>
          <w:bCs/>
        </w:rPr>
        <w:t>Issue 1:  Is the investment in EOTT deemed to be an in substance real estate investment?</w:t>
      </w:r>
    </w:p>
    <w:p>
      <w:pPr>
        <w:pStyle w:val="Body"/>
        <w:rPr>
          <w:b/>
          <w:bCs/>
        </w:rPr>
      </w:pPr>
      <w:r>
        <w:rPr>
          <w:b/>
          <w:bCs/>
        </w:rPr>
      </w:r>
    </w:p>
    <w:p>
      <w:pPr>
        <w:pStyle w:val="Body"/>
        <w:rPr/>
      </w:pPr>
      <w:r>
        <w:rPr/>
        <w:t>SFAS 140 addresses the accounting for a transfer of a financial asset.  Evidence of an ownership interest in an entity is one form of a financial asset included in its definition.  SFAS 66 addresses the accounting for real estate</w:t>
      </w:r>
      <w:r>
        <w:rPr>
          <w:rFonts w:cs="Arial"/>
        </w:rPr>
        <w:t>.  In EITF 98-08, the Task Force reached a consensus that the sale or transfer of an investment in the form of a financial asset that is in substance real estate should be accounted for in accordance with Statement 66.</w:t>
      </w:r>
    </w:p>
    <w:p>
      <w:pPr>
        <w:pStyle w:val="Body"/>
        <w:rPr>
          <w:rFonts w:cs="Arial"/>
        </w:rPr>
      </w:pPr>
      <w:r>
        <w:rPr>
          <w:rFonts w:cs="Arial"/>
        </w:rPr>
      </w:r>
    </w:p>
    <w:p>
      <w:pPr>
        <w:pStyle w:val="Body"/>
        <w:rPr/>
      </w:pPr>
      <w:r>
        <w:rPr/>
        <w:t xml:space="preserve">FIN 43 addresses the definition of in substance real estate and states that the attributes of the combined assets being sold should be considered to determine whether the nature of the assets being sold is like that of real estate and the sale is therefore in substance the sale of real estate.  The Board believed that determining whether something is in substance real estate requires judgment and that, in making the determination, one should consider the nature of the entire real estate component being sold (that is, the land plus the property improvements and integral equipment) and not the land only, in relation to the entire transaction.  </w:t>
      </w:r>
    </w:p>
    <w:p>
      <w:pPr>
        <w:pStyle w:val="Body"/>
        <w:rPr/>
      </w:pPr>
      <w:r>
        <w:rPr/>
      </w:r>
    </w:p>
    <w:p>
      <w:pPr>
        <w:pStyle w:val="Body"/>
        <w:rPr/>
      </w:pPr>
      <w:r>
        <w:rPr/>
        <w:t>Based on this guidance and Andersen interpretations, we have applied three tests (assets, revenues and income) to determine if the EOTT investment is in substance real estate.</w:t>
      </w:r>
      <w:r>
        <w:br w:type="page"/>
      </w:r>
    </w:p>
    <w:p>
      <w:pPr>
        <w:pStyle w:val="Body"/>
        <w:rPr/>
      </w:pPr>
      <w:r>
        <w:rPr/>
      </w:r>
    </w:p>
    <w:p>
      <w:pPr>
        <w:pStyle w:val="Body"/>
        <w:rPr>
          <w:b/>
          <w:bCs/>
          <w:i/>
          <w:i/>
          <w:iCs/>
        </w:rPr>
      </w:pPr>
      <w:r>
        <w:rPr>
          <w:b/>
          <w:bCs/>
          <w:i/>
          <w:iCs/>
        </w:rPr>
        <w:t>Asset Test</w:t>
      </w:r>
    </w:p>
    <w:p>
      <w:pPr>
        <w:pStyle w:val="Body"/>
        <w:rPr>
          <w:b/>
          <w:bCs/>
          <w:i/>
          <w:i/>
          <w:iCs/>
        </w:rPr>
      </w:pPr>
      <w:r>
        <w:rPr>
          <w:b/>
          <w:bCs/>
          <w:i/>
          <w:iCs/>
        </w:rPr>
      </w:r>
    </w:p>
    <w:p>
      <w:pPr>
        <w:pStyle w:val="Body"/>
        <w:rPr/>
      </w:pPr>
      <w:r>
        <w:rPr/>
        <w:t>The following table outlines the asset test performed:</w:t>
      </w:r>
    </w:p>
    <w:p>
      <w:pPr>
        <w:pStyle w:val="Body"/>
        <w:rPr/>
      </w:pPr>
      <w:r>
        <w:rPr/>
      </w:r>
    </w:p>
    <w:p>
      <w:pPr>
        <w:pStyle w:val="Body"/>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478780" cy="304165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8" r="-5" b="-8"/>
                    <a:stretch>
                      <a:fillRect/>
                    </a:stretch>
                  </pic:blipFill>
                  <pic:spPr bwMode="auto">
                    <a:xfrm>
                      <a:off x="0" y="0"/>
                      <a:ext cx="5478780" cy="3041650"/>
                    </a:xfrm>
                    <a:prstGeom prst="rect">
                      <a:avLst/>
                    </a:prstGeom>
                    <a:noFill/>
                  </pic:spPr>
                </pic:pic>
              </a:graphicData>
            </a:graphic>
          </wp:anchor>
        </w:drawing>
      </w:r>
    </w:p>
    <w:p>
      <w:pPr>
        <w:pStyle w:val="Body"/>
        <w:rPr/>
      </w:pPr>
      <w:r>
        <w:rPr/>
      </w:r>
    </w:p>
    <w:p>
      <w:pPr>
        <w:pStyle w:val="Body"/>
        <w:rPr/>
      </w:pPr>
      <w:r>
        <w:rPr/>
        <w:t>This table compares the fair value of EOTT’s property, plant and equipment including the Project Timber assets acquired after 12/31/00 to the fair value of the total assets of EOTT.  EOTT’s non-property assets are primarily financial assets carried at fair value so determing fair value was not an issue.  Since the Timber transaction was completed recently, the sales price reflected is representative of fair value.  Based on discussions with EOTT management, they believe that the fair value of the PP&amp;E at 12/31/00 approximates book value, but no appraisals of the property are available to support such assumptions.  Therefore, we have calculated the real estate assets as a % of total assets assuming that book value equals fair value and assuming that the fair value is equal to 125%, 150% and 175% of the current book value.  In all of these circumstances, the % of real estate assets as a % of total assets was less than 45%.  We believe that this test proves that from an asset perspective, the investment, under any reasonable circumstance, would not be deemed an investment in in substance real estate.</w:t>
      </w:r>
    </w:p>
    <w:p>
      <w:pPr>
        <w:pStyle w:val="Body"/>
        <w:ind w:start="0" w:end="0"/>
        <w:rPr/>
      </w:pPr>
      <w:r>
        <w:rPr/>
      </w:r>
    </w:p>
    <w:p>
      <w:pPr>
        <w:pStyle w:val="Body"/>
        <w:ind w:start="0" w:end="0"/>
        <w:rPr>
          <w:b/>
          <w:bCs/>
          <w:i/>
          <w:i/>
          <w:iCs/>
        </w:rPr>
      </w:pPr>
      <w:r>
        <w:rPr>
          <w:b/>
          <w:bCs/>
          <w:i/>
          <w:iCs/>
        </w:rPr>
        <w:t>Revenue Test</w:t>
      </w:r>
    </w:p>
    <w:p>
      <w:pPr>
        <w:pStyle w:val="Body"/>
        <w:rPr>
          <w:b/>
          <w:bCs/>
          <w:i/>
          <w:i/>
          <w:iCs/>
        </w:rPr>
      </w:pPr>
      <w:r>
        <w:rPr>
          <w:b/>
          <w:bCs/>
          <w:i/>
          <w:iCs/>
        </w:rPr>
      </w:r>
    </w:p>
    <w:p>
      <w:pPr>
        <w:pStyle w:val="Body"/>
        <w:rPr>
          <w:b/>
          <w:bCs/>
          <w:i/>
          <w:i/>
          <w:iCs/>
        </w:rPr>
      </w:pPr>
      <w:r>
        <w:rPr>
          <w:b/>
          <w:bCs/>
          <w:i/>
          <w:iCs/>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3225" cy="94996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5" t="-28" r="-5" b="-28"/>
                    <a:stretch>
                      <a:fillRect/>
                    </a:stretch>
                  </pic:blipFill>
                  <pic:spPr bwMode="auto">
                    <a:xfrm>
                      <a:off x="0" y="0"/>
                      <a:ext cx="5483225" cy="949960"/>
                    </a:xfrm>
                    <a:prstGeom prst="rect">
                      <a:avLst/>
                    </a:prstGeom>
                    <a:noFill/>
                  </pic:spPr>
                </pic:pic>
              </a:graphicData>
            </a:graphic>
          </wp:anchor>
        </w:drawing>
      </w:r>
    </w:p>
    <w:p>
      <w:pPr>
        <w:pStyle w:val="CopyList"/>
        <w:tabs>
          <w:tab w:val="clear" w:pos="504"/>
        </w:tabs>
        <w:ind w:hanging="0" w:start="0" w:end="0"/>
        <w:rPr>
          <w:color w:val="000080"/>
        </w:rPr>
      </w:pPr>
      <w:r>
        <w:rPr>
          <w:color w:val="000080"/>
        </w:rPr>
        <w:t>Based on the above test, only 2% of the revenues of EOTT are earned from real estate assets.  Additionally, the pipeline asset income includes some revenues derived from the sales of crude which is not related to the assets themselves.  This has no significant impact on the revenue test, but has greater impact on the income test below.</w:t>
      </w:r>
    </w:p>
    <w:p>
      <w:pPr>
        <w:pStyle w:val="CopyList"/>
        <w:rPr>
          <w:b/>
          <w:bCs/>
          <w:i/>
          <w:i/>
          <w:iCs/>
          <w:color w:val="000080"/>
        </w:rPr>
      </w:pPr>
      <w:r>
        <w:rPr>
          <w:b/>
          <w:bCs/>
          <w:i/>
          <w:iCs/>
          <w:color w:val="000080"/>
        </w:rPr>
        <w:t>Income Test</w:t>
      </w:r>
    </w:p>
    <w:p>
      <w:pPr>
        <w:pStyle w:val="CopyList"/>
        <w:rPr>
          <w:b/>
          <w:bCs/>
          <w:i/>
          <w:i/>
          <w:iCs/>
          <w:color w:val="000080"/>
        </w:rPr>
      </w:pPr>
      <w:r>
        <w:rPr>
          <w:b/>
          <w:bCs/>
          <w:i/>
          <w:iCs/>
          <w:color w:val="000080"/>
        </w:rPr>
      </w:r>
    </w:p>
    <w:p>
      <w:pPr>
        <w:pStyle w:val="CopyList"/>
        <w:tabs>
          <w:tab w:val="clear" w:pos="504"/>
        </w:tabs>
        <w:rPr>
          <w:color w:val="000080"/>
        </w:rPr>
      </w:pPr>
      <w:r>
        <w:rPr>
          <w:color w:val="000080"/>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3860" cy="1675765"/>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5" t="-16" r="-5" b="-16"/>
                    <a:stretch>
                      <a:fillRect/>
                    </a:stretch>
                  </pic:blipFill>
                  <pic:spPr bwMode="auto">
                    <a:xfrm>
                      <a:off x="0" y="0"/>
                      <a:ext cx="5483860" cy="1675765"/>
                    </a:xfrm>
                    <a:prstGeom prst="rect">
                      <a:avLst/>
                    </a:prstGeom>
                    <a:noFill/>
                  </pic:spPr>
                </pic:pic>
              </a:graphicData>
            </a:graphic>
          </wp:anchor>
        </w:drawing>
      </w:r>
    </w:p>
    <w:p>
      <w:pPr>
        <w:pStyle w:val="CopyList"/>
        <w:tabs>
          <w:tab w:val="clear" w:pos="504"/>
        </w:tabs>
        <w:ind w:hanging="0" w:start="72" w:end="0"/>
        <w:rPr>
          <w:color w:val="000080"/>
        </w:rPr>
      </w:pPr>
      <w:r>
        <w:rPr>
          <w:color w:val="000080"/>
        </w:rPr>
        <w:t>In the above calculation, the Timber income is calculated as 14% of the Timber investment of $117 million which was the implicit return in the transaction.  The pipeline asset income is calculated assuming a 5%, 10%, 15% and 20% return on the asset revenues listed in the revenue test above.  As discussed above, these revenues include some non-asset dependent revenues for crude sales.  The shift of these revenues from asset to trading would have only further reduced the percentages above, but since we were unable to determine the amount of the crude sales revenues included, we assumed that all reported revenues for the segment were related to the assets.  Management estimates that the actual return on the pipeline assets is approximately 5%.  Additionally, management has asserted that the rate filings for these assets typically assume an allowed return of 10%.  In the test above, even if the actual return were 15%, asset based income as a percent of total income would only be 44%.  Based on this analysis, the income allocation would not indicate that the investment in EOTT is an in substance real estate investment.</w:t>
      </w:r>
    </w:p>
    <w:p>
      <w:pPr>
        <w:pStyle w:val="CopyList"/>
        <w:tabs>
          <w:tab w:val="clear" w:pos="504"/>
        </w:tabs>
        <w:ind w:hanging="18" w:start="90" w:end="0"/>
        <w:rPr>
          <w:b/>
          <w:bCs/>
          <w:i/>
          <w:i/>
          <w:iCs/>
          <w:color w:val="000080"/>
        </w:rPr>
      </w:pPr>
      <w:r>
        <w:rPr>
          <w:b/>
          <w:bCs/>
          <w:i/>
          <w:iCs/>
          <w:color w:val="000080"/>
        </w:rPr>
        <w:t>Conclusion</w:t>
      </w:r>
    </w:p>
    <w:p>
      <w:pPr>
        <w:pStyle w:val="CopyList"/>
        <w:tabs>
          <w:tab w:val="clear" w:pos="504"/>
        </w:tabs>
        <w:ind w:hanging="18" w:start="90" w:end="0"/>
        <w:rPr>
          <w:color w:val="000080"/>
        </w:rPr>
      </w:pPr>
      <w:r>
        <w:rPr>
          <w:color w:val="000080"/>
        </w:rPr>
        <w:t>None of the tests performed above would indicate that the investment in EOTT is an in substance real estate investment and therefore, the transfer of the investment should be accounted for under SFAS 140 rather than SFAS 66.</w:t>
      </w:r>
    </w:p>
    <w:p>
      <w:pPr>
        <w:pStyle w:val="Body"/>
        <w:rPr>
          <w:b/>
          <w:bCs/>
          <w:color w:val="000080"/>
        </w:rPr>
      </w:pPr>
      <w:r>
        <w:rPr>
          <w:b/>
          <w:bCs/>
          <w:color w:val="000080"/>
        </w:rPr>
      </w:r>
    </w:p>
    <w:p>
      <w:pPr>
        <w:pStyle w:val="Body"/>
        <w:rPr>
          <w:b/>
          <w:bCs/>
        </w:rPr>
      </w:pPr>
      <w:r>
        <w:rPr>
          <w:b/>
          <w:bCs/>
        </w:rPr>
        <w:t>Issue 2:  Would the total return swap in the SFAS 140 transaction prevent EGM from recording the MTM position that was previously reserved due to the economics received by Enron in association with these ownership interests?</w:t>
      </w:r>
    </w:p>
    <w:p>
      <w:pPr>
        <w:pStyle w:val="Body"/>
        <w:rPr>
          <w:b/>
          <w:bCs/>
        </w:rPr>
      </w:pPr>
      <w:r>
        <w:rPr>
          <w:b/>
          <w:bCs/>
        </w:rPr>
      </w:r>
    </w:p>
    <w:p>
      <w:pPr>
        <w:pStyle w:val="Body"/>
        <w:rPr/>
      </w:pPr>
      <w:r>
        <w:rPr/>
        <w:t xml:space="preserve">No.  The total return swap is a derivative instrument that is based on the value of the investment and does not entitle Enron to any equity earnings.  Enron reserves MTM income to the extent that it holds an equity method investment </w:t>
      </w:r>
      <w:r>
        <w:rPr>
          <w:b/>
          <w:bCs/>
        </w:rPr>
        <w:t xml:space="preserve">and </w:t>
      </w:r>
      <w:r>
        <w:rPr/>
        <w:t>such investment entitles it to equity earnings.  Subsequent to this transaction, Enron will maintain a reserve on the MTM position of approximately 2% related to its retained GP interest.  Therefore, the 36% of MTM reserve related to the common and subordinated units will be released as a result of the sale of the B interest in these investments to Besson Trust.</w:t>
      </w:r>
    </w:p>
    <w:p>
      <w:pPr>
        <w:pStyle w:val="Body"/>
        <w:rPr>
          <w:b/>
          <w:bCs/>
        </w:rPr>
      </w:pPr>
      <w:r>
        <w:rPr>
          <w:b/>
          <w:bCs/>
        </w:rPr>
      </w:r>
    </w:p>
    <w:p>
      <w:pPr>
        <w:pStyle w:val="Body"/>
        <w:rPr>
          <w:b/>
          <w:bCs/>
        </w:rPr>
      </w:pPr>
      <w:r>
        <w:rPr>
          <w:b/>
          <w:bCs/>
        </w:rPr>
        <w:t>Issue 3:  Can there be a purchase price adjustment with a floor in a SFAS 140 transaction?</w:t>
      </w:r>
    </w:p>
    <w:p>
      <w:pPr>
        <w:pStyle w:val="Body"/>
        <w:rPr>
          <w:b/>
          <w:bCs/>
        </w:rPr>
      </w:pPr>
      <w:r>
        <w:rPr>
          <w:b/>
          <w:bCs/>
        </w:rPr>
      </w:r>
    </w:p>
    <w:p>
      <w:pPr>
        <w:pStyle w:val="Body"/>
        <w:rPr/>
      </w:pPr>
      <w:r>
        <w:rPr/>
        <w:t>Yes.  The SFAS 140 literature does not prohibit a purchase price adjustment.  As long as there is a floor, and such floor is deemed to be fair market value at the date of the initial close and the purchase price adjustment reflects the change in fair market value to the adjustment date, the adjustment is permissible.</w:t>
      </w:r>
    </w:p>
    <w:p>
      <w:pPr>
        <w:pStyle w:val="Body"/>
        <w:rPr/>
      </w:pPr>
      <w:r>
        <w:rPr/>
      </w:r>
    </w:p>
    <w:p>
      <w:pPr>
        <w:pStyle w:val="Body"/>
        <w:rPr>
          <w:b/>
          <w:bCs/>
        </w:rPr>
      </w:pPr>
      <w:r>
        <w:rPr>
          <w:b/>
          <w:bCs/>
        </w:rPr>
        <w:t>Issue 4:  If there is a purchase price adjustment with a floor, do we have to have a cap?</w:t>
      </w:r>
    </w:p>
    <w:p>
      <w:pPr>
        <w:pStyle w:val="Body"/>
        <w:rPr>
          <w:b/>
          <w:bCs/>
        </w:rPr>
      </w:pPr>
      <w:r>
        <w:rPr>
          <w:b/>
          <w:bCs/>
        </w:rPr>
      </w:r>
    </w:p>
    <w:p>
      <w:pPr>
        <w:pStyle w:val="Body"/>
        <w:rPr/>
      </w:pPr>
      <w:r>
        <w:rPr/>
        <w:t xml:space="preserve">Yes.  Under EITF 90-15, the owner of record of the SPE must make an initial substantive residual equity capital investment that is at risk during the entire term.  In order to determine the amount required for the initial equity investment, the maximum exposure to the SPE must be known at the initial date of sale. </w:t>
      </w:r>
    </w:p>
    <w:p>
      <w:pPr>
        <w:pStyle w:val="Body"/>
        <w:rPr>
          <w:b/>
          <w:bCs/>
        </w:rPr>
      </w:pPr>
      <w:r>
        <w:rPr>
          <w:b/>
          <w:bCs/>
        </w:rPr>
      </w:r>
    </w:p>
    <w:p>
      <w:pPr>
        <w:pStyle w:val="Body"/>
        <w:rPr>
          <w:b/>
          <w:bCs/>
        </w:rPr>
      </w:pPr>
      <w:r>
        <w:rPr>
          <w:b/>
          <w:bCs/>
        </w:rPr>
        <w:t>Issue 5:  If we are required to have a cap, how much equity must be funded in the SPE at closing?</w:t>
      </w:r>
    </w:p>
    <w:p>
      <w:pPr>
        <w:pStyle w:val="Body"/>
        <w:rPr>
          <w:b/>
          <w:bCs/>
        </w:rPr>
      </w:pPr>
      <w:r>
        <w:rPr>
          <w:b/>
          <w:bCs/>
        </w:rPr>
      </w:r>
    </w:p>
    <w:p>
      <w:pPr>
        <w:pStyle w:val="Body"/>
        <w:rPr>
          <w:b/>
          <w:bCs/>
        </w:rPr>
      </w:pPr>
      <w:r>
        <w:rPr/>
        <w:t>3% of the maximum exposure amount must be funded at the initial date of sale in order to comply with the requirement that the equity must be at risk during the entire term.  EITF 90-15 Q.3 states that an investor note payable issued to the SPE would not qualify as an initial substantive residual equity investment at risk.  Therefore, a commitment to provide the funds would not be sufficient to meet this criteria either.</w:t>
      </w:r>
    </w:p>
    <w:p>
      <w:pPr>
        <w:pStyle w:val="Body"/>
        <w:rPr>
          <w:b/>
          <w:bCs/>
        </w:rPr>
      </w:pPr>
      <w:r>
        <w:rPr>
          <w:b/>
          <w:bCs/>
        </w:rPr>
      </w:r>
    </w:p>
    <w:p>
      <w:pPr>
        <w:pStyle w:val="Body"/>
        <w:rPr>
          <w:b/>
          <w:bCs/>
        </w:rPr>
      </w:pPr>
      <w:r>
        <w:rPr>
          <w:b/>
          <w:bCs/>
        </w:rPr>
        <w:t>Issue 6: Assuming we have a cap and we have to fund the full 3% of the cap at closing, can we refund the difference between the adjusted price and the cap once the purchase price adjustment is known?</w:t>
      </w:r>
    </w:p>
    <w:p>
      <w:pPr>
        <w:pStyle w:val="Body"/>
        <w:rPr>
          <w:b/>
          <w:bCs/>
        </w:rPr>
      </w:pPr>
      <w:r>
        <w:rPr>
          <w:b/>
          <w:bCs/>
        </w:rPr>
      </w:r>
    </w:p>
    <w:p>
      <w:pPr>
        <w:pStyle w:val="Body"/>
        <w:rPr/>
      </w:pPr>
      <w:r>
        <w:rPr/>
        <w:t>Yes.  EITF 90-15 Q.5 states that there are circumstances in which an investor makes an investment in excess of the minimum required equity investment and that the investor may withdraw its initial investment in excess of the minimum required equity under such circumstances.</w:t>
      </w:r>
    </w:p>
    <w:p>
      <w:pPr>
        <w:pStyle w:val="Body"/>
        <w:rPr/>
      </w:pPr>
      <w:r>
        <w:rPr/>
      </w:r>
    </w:p>
    <w:p>
      <w:pPr>
        <w:pStyle w:val="Body"/>
        <w:rPr>
          <w:b/>
          <w:bCs/>
        </w:rPr>
      </w:pPr>
      <w:r>
        <w:rPr>
          <w:b/>
          <w:bCs/>
        </w:rPr>
        <w:t>Issue 7: If a partial sale of shares is made at the Asset LLC level, can the proceeds be distributed on a pro rata basis (97/3) to debt and equity?</w:t>
      </w:r>
    </w:p>
    <w:p>
      <w:pPr>
        <w:pStyle w:val="Body"/>
        <w:rPr>
          <w:b/>
          <w:bCs/>
        </w:rPr>
      </w:pPr>
      <w:r>
        <w:rPr>
          <w:b/>
          <w:bCs/>
        </w:rPr>
      </w:r>
    </w:p>
    <w:p>
      <w:pPr>
        <w:pStyle w:val="Body"/>
        <w:rPr/>
      </w:pPr>
      <w:r>
        <w:rPr/>
        <w:t>No. Andersen believes that a distribution to the equity holders upon a partial sale would violate the SPE criteria that the initial substantive residual equity capital investment must be at risk during the entire term of the lease.  Andersen believes that this particular matter relies on form over substance and that the formation of a series of trusts to hold these same assets in smaller portions would allow you to distribute proceeds from a sale of the underlying assets of one trust in the series.  We believe that a reduction in the lease amount or a sale of the underlying leased assets was not contemplated in EITF 90-15 and should allow a return of equity in such circumstances.  This issue is still under discussion.</w:t>
      </w:r>
    </w:p>
    <w:p>
      <w:pPr>
        <w:pStyle w:val="Body"/>
        <w:ind w:start="0" w:end="0"/>
        <w:rPr>
          <w:b/>
          <w:bCs/>
        </w:rPr>
      </w:pPr>
      <w:r>
        <w:rPr>
          <w:b/>
          <w:bCs/>
        </w:rPr>
      </w:r>
    </w:p>
    <w:p>
      <w:pPr>
        <w:pStyle w:val="Body"/>
        <w:rPr>
          <w:b/>
          <w:bCs/>
        </w:rPr>
      </w:pPr>
      <w:r>
        <w:rPr>
          <w:b/>
          <w:bCs/>
        </w:rPr>
        <w:t>Issue 8: Can a special distribution be made to the equity holders during the term of the agreement if there are GAAP earnings to substantiate such distribution?</w:t>
      </w:r>
    </w:p>
    <w:p>
      <w:pPr>
        <w:pStyle w:val="Body"/>
        <w:rPr>
          <w:b/>
          <w:bCs/>
        </w:rPr>
      </w:pPr>
      <w:r>
        <w:rPr>
          <w:b/>
          <w:bCs/>
        </w:rPr>
      </w:r>
    </w:p>
    <w:p>
      <w:pPr>
        <w:pStyle w:val="Body"/>
        <w:rPr/>
      </w:pPr>
      <w:r>
        <w:rPr/>
        <w:t>Yes.  EITF 96-21 Q. 5 states that distribution of the SPE’s GAAP basis earnings should be considered a return on equity capital and does not reduce the amount of the equity capital investment at risk.</w:t>
      </w:r>
    </w:p>
    <w:p>
      <w:pPr>
        <w:pStyle w:val="Body"/>
        <w:rPr/>
      </w:pPr>
      <w:r>
        <w:rPr/>
      </w:r>
    </w:p>
    <w:p>
      <w:pPr>
        <w:pStyle w:val="Body"/>
        <w:rPr>
          <w:b/>
          <w:bCs/>
        </w:rPr>
      </w:pPr>
      <w:r>
        <w:rPr>
          <w:b/>
          <w:bCs/>
        </w:rPr>
        <w:t>Issue 9:  How should fees paid by Enron be considered when determining the appropriate amount of equity to fund into the trust?</w:t>
      </w:r>
    </w:p>
    <w:p>
      <w:pPr>
        <w:pStyle w:val="Body"/>
        <w:rPr>
          <w:b/>
          <w:bCs/>
        </w:rPr>
      </w:pPr>
      <w:r>
        <w:rPr>
          <w:b/>
          <w:bCs/>
        </w:rPr>
      </w:r>
    </w:p>
    <w:p>
      <w:pPr>
        <w:pStyle w:val="Body"/>
        <w:rPr/>
      </w:pPr>
      <w:r>
        <w:rPr/>
        <w:t>To the extent that fees are paid by Enron to the equity participant or any affiliate thereof (i.e. an affiliate of the equity participant that also participates as a lender), then the equity participant must increase its 3% equity contribution by 100% of these amounts of fees.  To the extent that fees are paid by Enron directly to other third parties, the equity participant must increase its 3% equity contribution by 3% of such fees.  To the extent that Enron pays fees to a third party, but the fees actually flow through the trust, the equity participant must increase its 3% equity contribution by 100% of such fees.</w:t>
      </w:r>
    </w:p>
    <w:p>
      <w:pPr>
        <w:pStyle w:val="Body"/>
        <w:ind w:start="0" w:end="0"/>
        <w:rPr>
          <w:b/>
          <w:bCs/>
        </w:rPr>
      </w:pPr>
      <w:r>
        <w:rPr>
          <w:b/>
          <w:bCs/>
        </w:rPr>
      </w:r>
    </w:p>
    <w:p>
      <w:pPr>
        <w:pStyle w:val="Body"/>
        <w:rPr>
          <w:b/>
          <w:bCs/>
          <w:u w:val="single"/>
        </w:rPr>
      </w:pPr>
      <w:r>
        <w:rPr>
          <w:b/>
          <w:bCs/>
          <w:u w:val="single"/>
        </w:rPr>
        <w:t>Conclusion</w:t>
      </w:r>
    </w:p>
    <w:p>
      <w:pPr>
        <w:pStyle w:val="CopyList"/>
        <w:ind w:hanging="0" w:start="72" w:end="0"/>
        <w:rPr/>
      </w:pPr>
      <w:r>
        <w:rPr>
          <w:color w:val="000080"/>
        </w:rPr>
        <w:t>Enron will execute the transaction in the 3</w:t>
      </w:r>
      <w:r>
        <w:rPr>
          <w:color w:val="000080"/>
          <w:vertAlign w:val="superscript"/>
        </w:rPr>
        <w:t>rd</w:t>
      </w:r>
      <w:r>
        <w:rPr>
          <w:color w:val="000080"/>
        </w:rPr>
        <w:t xml:space="preserve"> quarter with a floor price of approximately $12/share ($80 million) and a maximum purchase price of approximately $35/share ($235 million) based on the closing price of the common units on the date of conversion.  A gain will be recoginized in the 3</w:t>
      </w:r>
      <w:r>
        <w:rPr>
          <w:color w:val="000080"/>
          <w:vertAlign w:val="superscript"/>
        </w:rPr>
        <w:t>rd</w:t>
      </w:r>
      <w:r>
        <w:rPr>
          <w:color w:val="000080"/>
        </w:rPr>
        <w:t xml:space="preserve"> quarter on the difference between the floor price ($80 million) and the book basis (approximately $70 million).   Any purchase price adjustment will be recognized as incremental gain in the 4</w:t>
      </w:r>
      <w:r>
        <w:rPr>
          <w:color w:val="000080"/>
          <w:vertAlign w:val="superscript"/>
        </w:rPr>
        <w:t>th</w:t>
      </w:r>
      <w:r>
        <w:rPr>
          <w:color w:val="000080"/>
        </w:rPr>
        <w:t xml:space="preserve"> quarter when the amount is known.  The equity will fund 3% of the $235 million up front (grossed up for fees paid by Enron).  A refund of equity will be made if the maximum exposure is reduced as a result of the purchase price adjustment.  Subsequent to the transaction, Enron’s interest in EOTT will be reduced from 38% to 2% and EGM will therefore release the approriate amount of affiliate MTM reserve recorded on the Project Timber transaction in the 2</w:t>
      </w:r>
      <w:r>
        <w:rPr>
          <w:color w:val="000080"/>
          <w:vertAlign w:val="superscript"/>
        </w:rPr>
        <w:t>nd</w:t>
      </w:r>
      <w:r>
        <w:rPr>
          <w:color w:val="000080"/>
        </w:rPr>
        <w:t xml:space="preserve"> quarter (approximately $72 million gross).</w:t>
      </w:r>
    </w:p>
    <w:p>
      <w:pPr>
        <w:pStyle w:val="CopyList"/>
        <w:ind w:hanging="0" w:start="72" w:end="0"/>
        <w:rPr>
          <w:color w:val="000080"/>
        </w:rPr>
      </w:pPr>
      <w:r>
        <w:rPr>
          <w:color w:val="000080"/>
        </w:rPr>
        <w:t>These conclusions have been discussed with Tom Bauer, Patty Grutzmacher and Kate Agnew at Andersen, and they have concurred with our analysis.</w:t>
      </w:r>
    </w:p>
    <w:p>
      <w:pPr>
        <w:pStyle w:val="CopyList"/>
        <w:rPr>
          <w:color w:val="000080"/>
        </w:rPr>
      </w:pPr>
      <w:r>
        <w:rPr>
          <w:color w:val="000080"/>
        </w:rPr>
        <w:t>C:</w:t>
        <w:tab/>
        <w:tab/>
        <w:tab/>
        <w:t xml:space="preserve">Mike Patrick </w:t>
      </w:r>
    </w:p>
    <w:p>
      <w:pPr>
        <w:pStyle w:val="Body"/>
        <w:rPr/>
      </w:pPr>
      <w:r>
        <w:rPr/>
        <w:tab/>
        <w:t>Brent Price</w:t>
      </w:r>
    </w:p>
    <w:p>
      <w:pPr>
        <w:pStyle w:val="Body"/>
        <w:rPr/>
      </w:pPr>
      <w:r>
        <w:rPr/>
        <w:tab/>
        <w:t>Rod Hayslett</w:t>
      </w:r>
    </w:p>
    <w:p>
      <w:pPr>
        <w:pStyle w:val="Body"/>
        <w:rPr/>
      </w:pPr>
      <w:r>
        <w:rPr/>
        <w:tab/>
        <w:t>Tom Bauer</w:t>
      </w:r>
    </w:p>
    <w:p>
      <w:pPr>
        <w:pStyle w:val="Body"/>
        <w:rPr/>
      </w:pPr>
      <w:r>
        <w:rPr/>
        <w:tab/>
        <w:t>Patty Grutzmacher</w:t>
      </w:r>
    </w:p>
    <w:p>
      <w:pPr>
        <w:pStyle w:val="Body"/>
        <w:rPr/>
      </w:pPr>
      <w:r>
        <w:rPr/>
        <w:tab/>
        <w:t>Kate Agnew</w:t>
      </w:r>
    </w:p>
    <w:sectPr>
      <w:headerReference w:type="default" r:id="rId6"/>
      <w:headerReference w:type="first" r:id="rId7"/>
      <w:footerReference w:type="default" r:id="rId8"/>
      <w:footerReference w:type="first" r:id="rId9"/>
      <w:type w:val="nextPage"/>
      <w:pgSz w:w="12240" w:h="15840"/>
      <w:pgMar w:left="1440" w:right="144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6</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5"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658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2001-08-29T15:48:00Z</dcterms:created>
  <dc:creator>mcilia</dc:creator>
  <dc:description/>
  <dc:language>en-CA</dc:language>
  <cp:lastModifiedBy>mcilia</cp:lastModifiedBy>
  <cp:lastPrinted>2001-09-18T10:56:00Z</cp:lastPrinted>
  <dcterms:modified xsi:type="dcterms:W3CDTF">2001-10-01T11:32:00Z</dcterms:modified>
  <cp:revision>16</cp:revision>
  <dc:subject/>
  <dc:title>Better, Faster, Simpler Memo </dc:title>
</cp:coreProperties>
</file>