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23"/>
        <w:gridCol w:w="8388"/>
        <w:gridCol w:w="2105"/>
      </w:tblGrid>
      <w:tr>
        <w:trPr>
          <w:tblHeader w:val="true"/>
        </w:trPr>
        <w:tc>
          <w:tcPr>
            <w:tcW w:w="4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PROJECT</w:t>
            </w:r>
          </w:p>
        </w:tc>
        <w:tc>
          <w:tcPr>
            <w:tcW w:w="83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STATUS/COMMENTS</w:t>
            </w:r>
          </w:p>
        </w:tc>
        <w:tc>
          <w:tcPr>
            <w:tcW w:w="2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PRIORITY</w:t>
            </w:r>
          </w:p>
        </w:tc>
      </w:tr>
      <w:tr>
        <w:trPr>
          <w:trHeight w:val="620" w:hRule="atLeast"/>
        </w:trPr>
        <w:tc>
          <w:tcPr>
            <w:tcW w:w="4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ISDA NEGOTIATIONS:</w:t>
            </w:r>
          </w:p>
          <w:p>
            <w:pPr>
              <w:pStyle w:val="Normal"/>
              <w:rPr>
                <w:sz w:val="22"/>
                <w:u w:val="single"/>
              </w:rPr>
            </w:pPr>
            <w:r>
              <w:rPr>
                <w:b/>
                <w:bCs/>
                <w:sz w:val="22"/>
              </w:rPr>
              <w:t xml:space="preserve">   </w:t>
            </w:r>
          </w:p>
        </w:tc>
        <w:tc>
          <w:tcPr>
            <w:tcW w:w="83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720" w:start="360" w:end="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A.    </w:t>
            </w:r>
            <w:r>
              <w:rPr>
                <w:b/>
                <w:bCs/>
                <w:sz w:val="22"/>
                <w:u w:val="single"/>
              </w:rPr>
              <w:t>ECC matters:</w:t>
            </w:r>
          </w:p>
          <w:p>
            <w:pPr>
              <w:pStyle w:val="Normal"/>
              <w:ind w:firstLine="720" w:start="360" w:end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83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21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12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720" w:start="360" w:end="0"/>
              <w:rPr>
                <w:sz w:val="22"/>
              </w:rPr>
            </w:pPr>
            <w:r>
              <w:rPr>
                <w:sz w:val="22"/>
              </w:rPr>
              <w:t>Aquila Capital and Trade Ltd.</w:t>
            </w:r>
          </w:p>
          <w:p>
            <w:pPr>
              <w:pStyle w:val="Normal"/>
              <w:ind w:firstLine="720" w:start="360" w:end="0"/>
              <w:rPr>
                <w:sz w:val="22"/>
              </w:rPr>
            </w:pPr>
            <w:r>
              <w:rPr>
                <w:sz w:val="22"/>
              </w:rPr>
              <w:t>ATCO Power Canada Ltd.</w:t>
            </w:r>
          </w:p>
          <w:p>
            <w:pPr>
              <w:pStyle w:val="Normal"/>
              <w:ind w:firstLine="720" w:start="360" w:end="0"/>
              <w:rPr>
                <w:sz w:val="22"/>
              </w:rPr>
            </w:pPr>
            <w:r>
              <w:rPr>
                <w:sz w:val="22"/>
              </w:rPr>
              <w:t>Cavell Energy Corporation</w:t>
            </w:r>
          </w:p>
          <w:p>
            <w:pPr>
              <w:pStyle w:val="Normal"/>
              <w:ind w:firstLine="720" w:start="360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ind w:firstLine="720" w:start="360" w:end="0"/>
              <w:rPr>
                <w:sz w:val="22"/>
              </w:rPr>
            </w:pPr>
            <w:r>
              <w:rPr>
                <w:sz w:val="22"/>
              </w:rPr>
              <w:t>Dynegy Canada Inc.</w:t>
            </w:r>
          </w:p>
          <w:p>
            <w:pPr>
              <w:pStyle w:val="Normal"/>
              <w:ind w:firstLine="720" w:start="360" w:end="0"/>
              <w:rPr>
                <w:sz w:val="22"/>
              </w:rPr>
            </w:pPr>
            <w:r>
              <w:rPr>
                <w:sz w:val="22"/>
              </w:rPr>
              <w:t>Due West Partnership</w:t>
            </w:r>
          </w:p>
          <w:p>
            <w:pPr>
              <w:pStyle w:val="Normal"/>
              <w:ind w:firstLine="720" w:start="360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ind w:firstLine="720" w:start="360" w:end="0"/>
              <w:rPr>
                <w:sz w:val="22"/>
              </w:rPr>
            </w:pPr>
            <w:r>
              <w:rPr>
                <w:sz w:val="22"/>
              </w:rPr>
              <w:t>ENMAX Energy Corporation</w:t>
            </w:r>
          </w:p>
          <w:p>
            <w:pPr>
              <w:pStyle w:val="Normal"/>
              <w:ind w:firstLine="720" w:start="360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ind w:firstLine="720" w:start="360" w:end="0"/>
              <w:rPr>
                <w:sz w:val="22"/>
              </w:rPr>
            </w:pPr>
            <w:r>
              <w:rPr>
                <w:sz w:val="22"/>
              </w:rPr>
              <w:t>Premstar Energy Canada Ltd.</w:t>
            </w:r>
          </w:p>
          <w:p>
            <w:pPr>
              <w:pStyle w:val="Normal"/>
              <w:ind w:firstLine="720" w:start="360" w:end="0"/>
              <w:rPr>
                <w:sz w:val="22"/>
              </w:rPr>
            </w:pPr>
            <w:r>
              <w:rPr>
                <w:sz w:val="22"/>
              </w:rPr>
              <w:t>Toronto Hydro Energy Services</w:t>
            </w:r>
          </w:p>
          <w:p>
            <w:pPr>
              <w:pStyle w:val="Normal"/>
              <w:ind w:firstLine="720" w:start="360" w:end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Inc.</w:t>
            </w:r>
          </w:p>
        </w:tc>
        <w:tc>
          <w:tcPr>
            <w:tcW w:w="838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 – copies distributed &amp; file closed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Derek Davies to furnish information on Counterparty contact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Sent for execution – Counterparty concerned with the designated figure for their collateral threshold – Rudwell Johnson to discuss this matter with Counterparty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Credit review (part of master netting, set-off project)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Sent for execution – DWP sold in August and subsequently dissolved, therefore no master is needed ith successor-in-interest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Mary working on (existing master to be replaced by one w/ENMAX Energy Marketing Corporation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Awaiting process agent info and etc, so executables can be prepared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First draft sent</w:t>
            </w:r>
          </w:p>
        </w:tc>
        <w:tc>
          <w:tcPr>
            <w:tcW w:w="21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Low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</w:tr>
      <w:tr>
        <w:trPr/>
        <w:tc>
          <w:tcPr>
            <w:tcW w:w="4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firstLine="720"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3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Top Ten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</w:tr>
      <w:tr>
        <w:trPr>
          <w:trHeight w:val="431" w:hRule="atLeast"/>
        </w:trPr>
        <w:tc>
          <w:tcPr>
            <w:tcW w:w="4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</w:t>
            </w:r>
            <w:r>
              <w:rPr>
                <w:b/>
                <w:bCs/>
                <w:sz w:val="22"/>
              </w:rPr>
              <w:t xml:space="preserve">B.  </w:t>
            </w:r>
            <w:r>
              <w:rPr>
                <w:b/>
                <w:bCs/>
                <w:sz w:val="22"/>
                <w:u w:val="single"/>
              </w:rPr>
              <w:t>ENA matters:</w:t>
            </w:r>
          </w:p>
        </w:tc>
        <w:tc>
          <w:tcPr>
            <w:tcW w:w="83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</w:p>
        </w:tc>
        <w:tc>
          <w:tcPr>
            <w:tcW w:w="2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710" w:hRule="atLeast"/>
        </w:trPr>
        <w:tc>
          <w:tcPr>
            <w:tcW w:w="4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AEGIS Insurance Services, Inc.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AIG Energy Trading, Inc.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 xml:space="preserve">Alpac Forest Products Incorporated 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Amerigas Propane, L.P.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Arch Coal, Inc.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Bonneville Fuels Corporation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CITGO Petroleum Corporation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Cleco Marketing &amp; Trading LLC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Consolidated Edison Energy, Inc.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Consolidated Edison Solutions, Inc.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Consumers Energy, Inc.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Devon Energy Corporation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Dominion Exploration &amp; Production, Inc.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Doublewood XLIM Fund Ltd. (The)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Doublewood XLIM Fund (USA) L.P.  (The)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Dow Jones &amp; Company, Inc.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Duke Energy Field Services Marketing, LLC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Fleet National Bank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Gibraltar Steel Corporation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Growmark, Inc.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Hilcorp Energy I, L.P.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Hunt Oil Company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Inland Paperboard &amp; Packaging, Inc.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KeySpan Energy Services, Inc.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New York Electric &amp; Gas Corporation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 xml:space="preserve">Peoples Gas Light &amp; Coke Company (The) 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Petrocom Energy Group, Ltd.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3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Tanya to respond to Brent’s comments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Counterparty reviewing ENA’s comments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Sent for execution – docs are forthcoming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Tanya &amp; Darren to visit re: credit issues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ENA sent response to Arch’s comments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First draft sent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Emailed Schedule &amp; Para. 13 to Citgo’s outside counsel (McDermott, Will &amp; Emery)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New draft to be presented to Counterparty’s counsel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ISDA comparison w/Sara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Will mirror CEE ISDA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Rudwell to follow-up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Received their paper, which does not include a CSA – comments sent to Rudwell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Cheryl negotiating – near exectuion stage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 HOLD – per Credit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Per Counterparty counsel --master &amp; supporting certificates executed (awaiting Cayman counsel’s rendering of a legal opinion) should receive by weeks end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 – copies distributed and file closed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First draft sent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Counteparty response to our commnets received – have provided same to Brent &amp; Darren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Francisco working with Credit regarding LC issue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First draft sent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Awaiting Counterparty comments to the first draft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Counterparty reviewing the first draft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First draft sent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 -- Master &amp; Guaranty received, still awaiting corporate support docs.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First draft sent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 – copies distributed &amp; file closed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Draft ISDA prepared but awaiting OK from Tanya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 – copies distributed &amp; file closed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Top Ten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 hold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Medium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 hold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128" w:hRule="atLeast"/>
        </w:trPr>
        <w:tc>
          <w:tcPr>
            <w:tcW w:w="4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Procter &amp; Gamble Company (The)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Rayonier, Inc.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Schaeffer Industries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Smith Barney AAA Energy Fund L.P.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Union Spring Fund (USA) L.P.</w:t>
            </w:r>
          </w:p>
        </w:tc>
        <w:tc>
          <w:tcPr>
            <w:tcW w:w="83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 xml:space="preserve">EXECUTED (not for general use – only for a specific pulp &amp; paper deal) this master will not be include on the </w:t>
            </w:r>
            <w:r>
              <w:rPr>
                <w:sz w:val="22"/>
                <w:u w:val="single"/>
              </w:rPr>
              <w:t>Executed Master Agreement List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First draft sent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First draft sent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 – Brent working on Guaranty matter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 – copies distributed and filed closed</w:t>
            </w:r>
          </w:p>
        </w:tc>
        <w:tc>
          <w:tcPr>
            <w:tcW w:w="2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</w:tc>
      </w:tr>
      <w:tr>
        <w:trPr>
          <w:trHeight w:val="566" w:hRule="atLeast"/>
        </w:trPr>
        <w:tc>
          <w:tcPr>
            <w:tcW w:w="4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1080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ind w:start="1080" w:end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C.  </w:t>
            </w:r>
            <w:r>
              <w:rPr>
                <w:b/>
                <w:bCs/>
                <w:sz w:val="22"/>
                <w:u w:val="single"/>
              </w:rPr>
              <w:t>RMT masters:</w:t>
            </w:r>
          </w:p>
          <w:p>
            <w:pPr>
              <w:pStyle w:val="Normal"/>
              <w:tabs>
                <w:tab w:val="clear" w:pos="720"/>
                <w:tab w:val="left" w:pos="949" w:leader="none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83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421" w:hRule="atLeast"/>
        </w:trPr>
        <w:tc>
          <w:tcPr>
            <w:tcW w:w="4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Enron Development Funding Ltd.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Enron Netherlands Holding B.V.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Enron Metal Recycling GmbH &amp; Co. KG</w:t>
            </w:r>
          </w:p>
        </w:tc>
        <w:tc>
          <w:tcPr>
            <w:tcW w:w="83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 – awaiting W-8BEN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Sent for execution – docs forthcoming</w:t>
            </w:r>
          </w:p>
        </w:tc>
        <w:tc>
          <w:tcPr>
            <w:tcW w:w="2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</w:tr>
      <w:tr>
        <w:trPr>
          <w:trHeight w:val="1636" w:hRule="atLeast"/>
        </w:trPr>
        <w:tc>
          <w:tcPr>
            <w:tcW w:w="4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1080" w:leader="none"/>
              </w:tabs>
              <w:ind w:hanging="720" w:start="1080" w:end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AMENDMENTS:</w:t>
            </w:r>
          </w:p>
          <w:p>
            <w:pPr>
              <w:pStyle w:val="Normal"/>
              <w:ind w:start="360" w:end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ind w:start="1080" w:end="0"/>
              <w:rPr>
                <w:b/>
                <w:bCs/>
                <w:sz w:val="22"/>
              </w:rPr>
            </w:pPr>
            <w:r>
              <w:rPr>
                <w:sz w:val="22"/>
              </w:rPr>
              <w:t>Louis Dreyfus Natural Gas Corp.</w:t>
            </w:r>
          </w:p>
          <w:p>
            <w:pPr>
              <w:pStyle w:val="Normal"/>
              <w:ind w:start="1080" w:end="0"/>
              <w:rPr>
                <w:b/>
                <w:bCs/>
                <w:sz w:val="22"/>
              </w:rPr>
            </w:pPr>
            <w:r>
              <w:rPr>
                <w:sz w:val="22"/>
              </w:rPr>
              <w:t>Resource Strategies L.L.C.</w:t>
            </w:r>
          </w:p>
          <w:p>
            <w:pPr>
              <w:pStyle w:val="Normal"/>
              <w:ind w:start="1080" w:end="0"/>
              <w:rPr>
                <w:b/>
                <w:bCs/>
                <w:sz w:val="22"/>
              </w:rPr>
            </w:pPr>
            <w:r>
              <w:rPr>
                <w:sz w:val="22"/>
              </w:rPr>
              <w:t>Tenaska Marketing Ventures</w:t>
            </w:r>
          </w:p>
        </w:tc>
        <w:tc>
          <w:tcPr>
            <w:tcW w:w="83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Jay Williams working 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EXECUTED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Francisco working with/Counterparty as to Guaranty issue</w:t>
            </w:r>
          </w:p>
        </w:tc>
        <w:tc>
          <w:tcPr>
            <w:tcW w:w="2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Medium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Top Ten</w:t>
            </w:r>
          </w:p>
        </w:tc>
      </w:tr>
      <w:tr>
        <w:trPr>
          <w:trHeight w:val="1931" w:hRule="atLeast"/>
        </w:trPr>
        <w:tc>
          <w:tcPr>
            <w:tcW w:w="4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1080" w:leader="none"/>
              </w:tabs>
              <w:ind w:hanging="720" w:start="1080" w:end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OLD MASTERS TO ISDA UPGRADES:</w:t>
            </w:r>
          </w:p>
          <w:p>
            <w:pPr>
              <w:pStyle w:val="Normal"/>
              <w:ind w:firstLine="720" w:start="360" w:end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ind w:firstLine="720" w:start="360" w:end="0"/>
              <w:rPr>
                <w:sz w:val="22"/>
              </w:rPr>
            </w:pPr>
            <w:r>
              <w:rPr>
                <w:sz w:val="22"/>
              </w:rPr>
              <w:t>Dynegy Marketing and Trade</w:t>
            </w:r>
          </w:p>
          <w:p>
            <w:pPr>
              <w:pStyle w:val="Heading1"/>
              <w:rPr>
                <w:sz w:val="22"/>
              </w:rPr>
            </w:pPr>
            <w:r>
              <w:rPr>
                <w:b w:val="false"/>
                <w:bCs w:val="false"/>
                <w:sz w:val="22"/>
              </w:rPr>
              <w:t>Frontier Oil Corporation</w:t>
            </w:r>
          </w:p>
          <w:p>
            <w:pPr>
              <w:pStyle w:val="Heading1"/>
              <w:rPr>
                <w:sz w:val="22"/>
              </w:rPr>
            </w:pPr>
            <w:r>
              <w:rPr>
                <w:b w:val="false"/>
                <w:bCs w:val="false"/>
                <w:sz w:val="22"/>
              </w:rPr>
              <w:t>Glencore Ltd.</w:t>
            </w:r>
          </w:p>
          <w:p>
            <w:pPr>
              <w:pStyle w:val="Heading1"/>
              <w:rPr>
                <w:sz w:val="22"/>
              </w:rPr>
            </w:pPr>
            <w:r>
              <w:rPr>
                <w:b w:val="false"/>
                <w:bCs w:val="false"/>
                <w:sz w:val="22"/>
              </w:rPr>
              <w:t>Morgan Stanley Capital Group Inc.</w:t>
            </w:r>
          </w:p>
          <w:p>
            <w:pPr>
              <w:pStyle w:val="Heading1"/>
              <w:rPr>
                <w:sz w:val="22"/>
              </w:rPr>
            </w:pPr>
            <w:r>
              <w:rPr>
                <w:b w:val="false"/>
                <w:bCs w:val="false"/>
                <w:sz w:val="22"/>
              </w:rPr>
              <w:t>Ocean Energy, Inc.</w:t>
            </w:r>
          </w:p>
        </w:tc>
        <w:tc>
          <w:tcPr>
            <w:tcW w:w="83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Credit review (part of master netting, set-off project)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Darren to provide new credit worksheet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Counterparty comments received – ENA to respond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Counterparty comments received – Sara reviewing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Fred asked that file be reassigned to another lawyer – Francisco has assumed file from Cheryl</w:t>
            </w:r>
          </w:p>
        </w:tc>
        <w:tc>
          <w:tcPr>
            <w:tcW w:w="2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Very 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Medium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High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High </w:t>
            </w:r>
          </w:p>
        </w:tc>
      </w:tr>
      <w:tr>
        <w:trPr>
          <w:trHeight w:val="899" w:hRule="atLeast"/>
        </w:trPr>
        <w:tc>
          <w:tcPr>
            <w:tcW w:w="4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1080" w:leader="none"/>
              </w:tabs>
              <w:ind w:hanging="720" w:start="1080" w:end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SPECIAL PROJECTS: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ind w:start="360" w:end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ind w:start="1080" w:end="0"/>
              <w:rPr>
                <w:sz w:val="22"/>
              </w:rPr>
            </w:pPr>
            <w:r>
              <w:rPr>
                <w:sz w:val="22"/>
              </w:rPr>
              <w:t>Executed Master Agreements List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ind w:start="1080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ind w:start="1080" w:end="0"/>
              <w:rPr>
                <w:sz w:val="22"/>
              </w:rPr>
            </w:pPr>
            <w:r>
              <w:rPr>
                <w:sz w:val="22"/>
              </w:rPr>
              <w:t>Trading Opinion Notebooks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ind w:start="1080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ind w:start="1080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ind w:start="1080" w:end="0"/>
              <w:rPr>
                <w:sz w:val="22"/>
              </w:rPr>
            </w:pPr>
            <w:r>
              <w:rPr>
                <w:sz w:val="22"/>
              </w:rPr>
              <w:t>Project KCS -- VPP Deal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ind w:start="1080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ind w:start="1080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ind w:start="1080" w:end="0"/>
              <w:rPr>
                <w:sz w:val="22"/>
              </w:rPr>
            </w:pPr>
            <w:r>
              <w:rPr>
                <w:sz w:val="22"/>
              </w:rPr>
              <w:t>Project NOL</w:t>
            </w:r>
          </w:p>
        </w:tc>
        <w:tc>
          <w:tcPr>
            <w:tcW w:w="83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/>
            </w:pPr>
            <w:r>
              <w:rPr>
                <w:sz w:val="22"/>
              </w:rPr>
              <w:t>September version delivered via e-mail on September 14</w:t>
            </w:r>
            <w:r>
              <w:rPr>
                <w:sz w:val="22"/>
                <w:vertAlign w:val="superscript"/>
              </w:rPr>
              <w:t>th</w:t>
            </w:r>
          </w:p>
          <w:p>
            <w:pPr>
              <w:pStyle w:val="Normal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  <w:p>
            <w:pPr>
              <w:pStyle w:val="Normal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Organized trading opinions by jurisdiction  &amp; source (project passed onto Stephanie Panus for continued maintenance)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Organized closing materials for distribution and filing relating to recent Swiss Re/KStar closing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Project delayed – await further word from Lou Stoler &amp; Stephen Douglas</w:t>
            </w:r>
          </w:p>
        </w:tc>
        <w:tc>
          <w:tcPr>
            <w:tcW w:w="2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/>
            </w:pPr>
            <w:r>
              <w:rPr>
                <w:sz w:val="22"/>
              </w:rPr>
              <w:t>By the 15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of every month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Completed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Closed August 17</w:t>
            </w:r>
            <w:r>
              <w:rPr>
                <w:sz w:val="22"/>
                <w:vertAlign w:val="superscript"/>
              </w:rPr>
              <w:t>th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Year end (12/31/01)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720" w:right="72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/mnt/main-storage/datasets/enron-docs/doc/Project_List_in_Tables__9_18_01_.doc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  <w:tab/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4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\* ARABIC </w:instrText>
    </w:r>
    <w:r>
      <w:rPr>
        <w:sz w:val="16"/>
      </w:rPr>
      <w:fldChar w:fldCharType="separate"/>
    </w:r>
    <w:r>
      <w:rPr>
        <w:sz w:val="16"/>
      </w:rPr>
      <w:t>4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  <w:u w:val="single"/>
      </w:rPr>
    </w:pPr>
    <w:r>
      <w:rPr>
        <w:b/>
        <w:bCs/>
        <w:u w:val="single"/>
      </w:rPr>
      <w:t>Dated as of: 09/18/2001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080" w:end="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u w:val="non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2001-08-16T14:58:00Z</dcterms:created>
  <dc:creator>protmp3</dc:creator>
  <dc:description/>
  <dc:language>en-CA</dc:language>
  <cp:lastModifiedBy>sbaile2</cp:lastModifiedBy>
  <cp:lastPrinted>2001-09-05T09:51:00Z</cp:lastPrinted>
  <dcterms:modified xsi:type="dcterms:W3CDTF">2001-09-18T16:46:00Z</dcterms:modified>
  <cp:revision>27</cp:revision>
  <dc:subject/>
  <dc:title>PROJECT</dc:title>
</cp:coreProperties>
</file>