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7"/>
        <w:gridCol w:w="8264"/>
        <w:gridCol w:w="2105"/>
      </w:tblGrid>
      <w:tr>
        <w:trPr>
          <w:tblHeader w:val="true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PROJECT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STATUS/COMMENTS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PRIORITY</w:t>
            </w:r>
          </w:p>
        </w:tc>
      </w:tr>
      <w:tr>
        <w:trPr>
          <w:trHeight w:val="620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ISDA NEGOTIATIONS:</w:t>
            </w:r>
          </w:p>
          <w:p>
            <w:pPr>
              <w:pStyle w:val="Normal"/>
              <w:rPr>
                <w:sz w:val="22"/>
                <w:u w:val="single"/>
              </w:rPr>
            </w:pPr>
            <w:r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A.    </w:t>
            </w:r>
            <w:r>
              <w:rPr>
                <w:b/>
                <w:bCs/>
                <w:sz w:val="22"/>
                <w:u w:val="single"/>
              </w:rPr>
              <w:t>ECC matters:</w:t>
            </w:r>
          </w:p>
          <w:p>
            <w:pPr>
              <w:pStyle w:val="Normal"/>
              <w:ind w:firstLine="720"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2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Aquila Capital and Trade Ltd.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ATCO Power Canada Ltd.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Cavell Energy Corporation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Dynegy Canada Inc.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Due West Partnership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ENMAX Energy Corporation</w:t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Premstar Energy Canada Ltd.</w:t>
            </w:r>
          </w:p>
        </w:tc>
        <w:tc>
          <w:tcPr>
            <w:tcW w:w="826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&amp;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Derek Davies to furnish information on Counterparty contact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docs forthcoming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review (part of master netting, set-off project)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docs forthcoming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Mary working on (existing master to be replaced by one w/ENMAX Energy Marketing Corporation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First draft sent 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Low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/>
        <w:tc>
          <w:tcPr>
            <w:tcW w:w="42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6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Ten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431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</w:t>
            </w:r>
            <w:r>
              <w:rPr>
                <w:b/>
                <w:bCs/>
                <w:sz w:val="22"/>
              </w:rPr>
              <w:t xml:space="preserve">B.  </w:t>
            </w:r>
            <w:r>
              <w:rPr>
                <w:b/>
                <w:bCs/>
                <w:sz w:val="22"/>
                <w:u w:val="single"/>
              </w:rPr>
              <w:t>ENA matters: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710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AEGIS Insurance Services,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AIG Energy Trading,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 xml:space="preserve">Alpac Forest Products Incorporated 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Amerigas Propane, L.P.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Arch Coal,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Bonneville Fuels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CITGO Petroleum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Cleco Marketing &amp; Trading LLC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Consolidated Edison Energy,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Consolidated Edison Solutions,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Consumers Energy,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Devon Energy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Dominion Exploration &amp; Production,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Doublewood XLIM Fund Ltd. (The)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Doublewood XLIM Fund (USA) L.P.  (The)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Duke Energy Field Services Marketing, LLC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Fleet National Bank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Gibraltar Steel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Growmark,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Hilcorp Energy I, L.P.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Hunt Oil Company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Inland Paperboard &amp; Packaging,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KeySpan Energy Services,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New York Electric &amp; Gas Corporation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 xml:space="preserve">Peoples Gas Light &amp; Coke Company (The) 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Petrocom Energy Group, Ltd.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Tanya to respond to Brent’s 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Counterparty reviewing ENA’s comments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docs are forthcoming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Tanya &amp; Darren to visit re: credit issues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ENA sent response to Arch’s comments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Emailed Schedule &amp; Para. 13 to Citgo’s outside counsel (McDermott, Will &amp; Emery)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 draft to be presented to Counterparty’s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comparison w/Sara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Will mirror CEE ISDA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Rudwell to follow-up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Final draft w/Cheryl – close to execution stage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 – per Credit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Per Counterparty counsel --master &amp; supporting certificates executed (awaiting Cayman counsel’s rendering of a legal opinion)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and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Sent ENA’s response to counterparty’s comments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to follow-up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Awaiting Counterparty comments to the first draft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Counterparty reviewing the first draft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Jim Crump check w/Counterparty as to delays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awaiting original W-9 of Counterparty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Draft ISDA prepared but awaiting OK from Tanya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&amp; file closed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Ten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Very 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 hold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28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Procter &amp; Gamble Company (The)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Rayonier, Inc.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Smith Barney AAA Energy Fund L.P.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Union Spring Fund (USA) L.P.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EXECUTED (not for general use – only for a specific pulp &amp; paper deal) this master will not be include on the </w:t>
            </w:r>
            <w:r>
              <w:rPr>
                <w:sz w:val="22"/>
                <w:u w:val="single"/>
              </w:rPr>
              <w:t>Executed Master Agreement List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First draft sent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Brent working on Guaranty matter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copies distributed and filed closed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</w:tr>
      <w:tr>
        <w:trPr>
          <w:trHeight w:val="566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C.  </w:t>
            </w:r>
            <w:r>
              <w:rPr>
                <w:b/>
                <w:bCs/>
                <w:sz w:val="22"/>
                <w:u w:val="single"/>
              </w:rPr>
              <w:t>RMT masters:</w:t>
            </w:r>
          </w:p>
          <w:p>
            <w:pPr>
              <w:pStyle w:val="Normal"/>
              <w:tabs>
                <w:tab w:val="clear" w:pos="720"/>
                <w:tab w:val="left" w:pos="949" w:leader="none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21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Enron Development Funding Ltd.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Enron Netherlands Holding B.V.</w:t>
            </w:r>
          </w:p>
          <w:p>
            <w:pPr>
              <w:pStyle w:val="Normal"/>
              <w:ind w:start="1080" w:end="0"/>
              <w:rPr>
                <w:sz w:val="22"/>
              </w:rPr>
            </w:pPr>
            <w:r>
              <w:rPr>
                <w:sz w:val="22"/>
              </w:rPr>
              <w:t>Enron Metal Recycling GmbH &amp; Co. KG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 – awaiting W-8BEN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Sent for execution – docs forthcoming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Sent for execution – docs forthcoming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</w:tc>
      </w:tr>
      <w:tr>
        <w:trPr>
          <w:trHeight w:val="1636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720"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AMENDMENTS:</w:t>
            </w:r>
          </w:p>
          <w:p>
            <w:pPr>
              <w:pStyle w:val="Normal"/>
              <w:ind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sz w:val="22"/>
              </w:rPr>
              <w:t>Louis Dreyfus Natural Gas Corp.</w:t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sz w:val="22"/>
              </w:rPr>
              <w:t>Resource Strategies L.L.C.</w:t>
            </w:r>
          </w:p>
          <w:p>
            <w:pPr>
              <w:pStyle w:val="Normal"/>
              <w:ind w:start="1080" w:end="0"/>
              <w:rPr>
                <w:b/>
                <w:bCs/>
                <w:sz w:val="22"/>
              </w:rPr>
            </w:pPr>
            <w:r>
              <w:rPr>
                <w:sz w:val="22"/>
              </w:rPr>
              <w:t>Tenaska Marketing Ventures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Jay Williams working 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EXECUTED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Francisco working with/Counterparty as to Guaranty issue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 Ten</w:t>
            </w:r>
          </w:p>
        </w:tc>
      </w:tr>
      <w:tr>
        <w:trPr>
          <w:trHeight w:val="1931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720"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OLD MASTERS TO ISDA UPGRADES:</w:t>
            </w:r>
          </w:p>
          <w:p>
            <w:pPr>
              <w:pStyle w:val="Normal"/>
              <w:ind w:firstLine="720"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ind w:firstLine="720" w:start="360" w:end="0"/>
              <w:rPr>
                <w:sz w:val="22"/>
              </w:rPr>
            </w:pPr>
            <w:r>
              <w:rPr>
                <w:sz w:val="22"/>
              </w:rPr>
              <w:t>Dynegy Marketing and Trade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Frontier Oil Corporation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Glencore Ltd.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Morgan Stanley Capital Group Inc.</w:t>
            </w:r>
          </w:p>
          <w:p>
            <w:pPr>
              <w:pStyle w:val="Heading1"/>
              <w:rPr>
                <w:sz w:val="22"/>
              </w:rPr>
            </w:pPr>
            <w:r>
              <w:rPr>
                <w:b w:val="false"/>
                <w:bCs w:val="false"/>
                <w:sz w:val="22"/>
              </w:rPr>
              <w:t>Ocean Energy, Inc.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review (part of master netting, set-off project)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Darren to provide new credit worksheet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Counterparty comments received – ENa to respond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Countyparty comments forthcoming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Sara reviewing Counterparty comments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Very 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High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High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High </w:t>
            </w:r>
          </w:p>
        </w:tc>
      </w:tr>
      <w:tr>
        <w:trPr>
          <w:trHeight w:val="899" w:hRule="atLeast"/>
        </w:trPr>
        <w:tc>
          <w:tcPr>
            <w:tcW w:w="4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ind w:hanging="720" w:start="108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SPECIAL PROJECTS: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36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Executed Master Agreements List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Trading Opinion Notebooks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Project KCS -- VPP Deal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ind w:start="1080" w:end="0"/>
              <w:rPr>
                <w:sz w:val="22"/>
              </w:rPr>
            </w:pPr>
            <w:r>
              <w:rPr>
                <w:sz w:val="22"/>
              </w:rPr>
              <w:t>Project NOL</w:t>
            </w:r>
          </w:p>
        </w:tc>
        <w:tc>
          <w:tcPr>
            <w:tcW w:w="82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>September version to be delivered via e-mail on September 15</w:t>
            </w:r>
            <w:r>
              <w:rPr>
                <w:sz w:val="22"/>
                <w:vertAlign w:val="superscript"/>
              </w:rPr>
              <w:t>th</w:t>
            </w:r>
          </w:p>
          <w:p>
            <w:pPr>
              <w:pStyle w:val="Normal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  <w:p>
            <w:pPr>
              <w:pStyle w:val="Normal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Organized trading opinions by jurisdiction  &amp; source (project passed onto Stephanie Panus for continued maintenance)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Organizing closing materials for distribution and filing relating to recent Swiss Re/KStar closing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>September 15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closing date relating to the net operating loss project for Enron Corp.</w:t>
            </w:r>
          </w:p>
        </w:tc>
        <w:tc>
          <w:tcPr>
            <w:tcW w:w="2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</w:rPr>
              <w:t>By the 15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of every month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Completed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Closed August 17</w:t>
            </w:r>
            <w:r>
              <w:rPr>
                <w:sz w:val="22"/>
                <w:vertAlign w:val="superscript"/>
              </w:rPr>
              <w:t>th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Year end (12/31/01)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/mnt/main-storage/datasets/enron-docs/doc/Project_List_in_Tables__9_04_01_.doc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u w:val="single"/>
      </w:rPr>
    </w:pPr>
    <w:r>
      <w:rPr>
        <w:b/>
        <w:bCs/>
        <w:u w:val="single"/>
      </w:rPr>
      <w:t>Dated as of: 09/04/2001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08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2001-08-16T14:58:00Z</dcterms:created>
  <dc:creator>protmp3</dc:creator>
  <dc:description/>
  <dc:language>en-CA</dc:language>
  <cp:lastModifiedBy>sbaile2</cp:lastModifiedBy>
  <cp:lastPrinted>2001-08-27T09:05:00Z</cp:lastPrinted>
  <dcterms:modified xsi:type="dcterms:W3CDTF">2001-08-31T17:35:00Z</dcterms:modified>
  <cp:revision>21</cp:revision>
  <dc:subject/>
  <dc:title>PROJECT</dc:title>
</cp:coreProperties>
</file>