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16" w:type="dxa"/>
        <w:jc w:val="start"/>
        <w:tblInd w:w="0" w:type="dxa"/>
        <w:tblLayout w:type="fixed"/>
        <w:tblCellMar>
          <w:top w:w="0" w:type="dxa"/>
          <w:start w:w="108" w:type="dxa"/>
          <w:bottom w:w="0" w:type="dxa"/>
          <w:end w:w="108" w:type="dxa"/>
        </w:tblCellMar>
      </w:tblPr>
      <w:tblGrid>
        <w:gridCol w:w="3496"/>
        <w:gridCol w:w="9015"/>
        <w:gridCol w:w="2105"/>
      </w:tblGrid>
      <w:tr>
        <w:trPr>
          <w:tblHeader w:val="true"/>
        </w:trPr>
        <w:tc>
          <w:tcPr>
            <w:tcW w:w="3496"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PROJECT</w:t>
            </w:r>
          </w:p>
        </w:tc>
        <w:tc>
          <w:tcPr>
            <w:tcW w:w="9015"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2105"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rHeight w:val="620"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b/>
                <w:bCs/>
                <w:sz w:val="22"/>
              </w:rPr>
            </w:pPr>
            <w:r>
              <w:rPr>
                <w:b/>
                <w:bCs/>
                <w:sz w:val="22"/>
              </w:rPr>
              <w:t>ISDA NEGOTIATIONS:</w:t>
            </w:r>
          </w:p>
          <w:p>
            <w:pPr>
              <w:pStyle w:val="Normal"/>
              <w:rPr>
                <w:sz w:val="22"/>
                <w:u w:val="single"/>
              </w:rPr>
            </w:pPr>
            <w:r>
              <w:rPr>
                <w:b/>
                <w:bCs/>
                <w:sz w:val="22"/>
              </w:rPr>
              <w:t xml:space="preserve">   </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u w:val="single"/>
              </w:rPr>
            </w:pPr>
            <w:r>
              <w:rPr>
                <w:sz w:val="22"/>
                <w:u w:val="single"/>
              </w:rPr>
            </w:r>
          </w:p>
          <w:p>
            <w:pPr>
              <w:pStyle w:val="Normal"/>
              <w:rPr>
                <w:sz w:val="22"/>
              </w:rPr>
            </w:pPr>
            <w:r>
              <w:rPr>
                <w:sz w:val="22"/>
              </w:rPr>
            </w:r>
          </w:p>
          <w:p>
            <w:pPr>
              <w:pStyle w:val="Normal"/>
              <w:rPr>
                <w:sz w:val="22"/>
              </w:rPr>
            </w:pPr>
            <w:r>
              <w:rPr>
                <w:sz w:val="22"/>
              </w:rPr>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tc>
      </w:tr>
      <w:tr>
        <w:trPr/>
        <w:tc>
          <w:tcPr>
            <w:tcW w:w="3496" w:type="dxa"/>
            <w:tcBorders>
              <w:top w:val="single" w:sz="4" w:space="0" w:color="000000"/>
              <w:start w:val="single" w:sz="4" w:space="0" w:color="000000"/>
              <w:bottom w:val="single" w:sz="4" w:space="0" w:color="000000"/>
              <w:end w:val="single" w:sz="4" w:space="0" w:color="000000"/>
            </w:tcBorders>
          </w:tcPr>
          <w:p>
            <w:pPr>
              <w:pStyle w:val="Normal"/>
              <w:ind w:firstLine="720" w:start="360" w:end="0"/>
              <w:rPr>
                <w:sz w:val="22"/>
              </w:rPr>
            </w:pPr>
            <w:r>
              <w:rPr>
                <w:b/>
                <w:bCs/>
                <w:sz w:val="22"/>
              </w:rPr>
              <w:t xml:space="preserve">A.    </w:t>
            </w:r>
            <w:r>
              <w:rPr>
                <w:b/>
                <w:bCs/>
                <w:sz w:val="22"/>
                <w:u w:val="single"/>
              </w:rPr>
              <w:t>ECC matters:</w:t>
            </w:r>
          </w:p>
          <w:p>
            <w:pPr>
              <w:pStyle w:val="Normal"/>
              <w:ind w:firstLine="720" w:start="360" w:end="0"/>
              <w:rPr>
                <w:b/>
                <w:bCs/>
                <w:sz w:val="22"/>
              </w:rPr>
            </w:pPr>
            <w:r>
              <w:rPr>
                <w:b/>
                <w:bCs/>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2105" w:type="dxa"/>
            <w:tcBorders>
              <w:top w:val="single" w:sz="4" w:space="0" w:color="000000"/>
              <w:start w:val="single" w:sz="4" w:space="0" w:color="000000"/>
              <w:end w:val="single" w:sz="4" w:space="0" w:color="000000"/>
            </w:tcBorders>
          </w:tcPr>
          <w:p>
            <w:pPr>
              <w:pStyle w:val="Normal"/>
              <w:snapToGrid w:val="false"/>
              <w:rPr>
                <w:sz w:val="22"/>
              </w:rPr>
            </w:pPr>
            <w:r>
              <w:rPr>
                <w:sz w:val="22"/>
              </w:rPr>
            </w:r>
          </w:p>
        </w:tc>
      </w:tr>
      <w:tr>
        <w:trPr/>
        <w:tc>
          <w:tcPr>
            <w:tcW w:w="349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firstLine="720" w:start="360" w:end="0"/>
              <w:rPr>
                <w:sz w:val="22"/>
              </w:rPr>
            </w:pPr>
            <w:r>
              <w:rPr>
                <w:sz w:val="22"/>
              </w:rPr>
            </w:r>
          </w:p>
          <w:p>
            <w:pPr>
              <w:pStyle w:val="Normal"/>
              <w:rPr>
                <w:sz w:val="22"/>
              </w:rPr>
            </w:pPr>
            <w:r>
              <w:rPr>
                <w:sz w:val="22"/>
              </w:rPr>
              <w:t>Cavell Energy Corporation</w:t>
            </w:r>
          </w:p>
          <w:p>
            <w:pPr>
              <w:pStyle w:val="Normal"/>
              <w:ind w:firstLine="720" w:start="360" w:end="0"/>
              <w:rPr>
                <w:sz w:val="22"/>
              </w:rPr>
            </w:pPr>
            <w:r>
              <w:rPr>
                <w:sz w:val="22"/>
              </w:rPr>
            </w:r>
          </w:p>
          <w:p>
            <w:pPr>
              <w:pStyle w:val="Normal"/>
              <w:rPr>
                <w:sz w:val="22"/>
              </w:rPr>
            </w:pPr>
            <w:r>
              <w:rPr>
                <w:sz w:val="22"/>
              </w:rPr>
            </w:r>
          </w:p>
          <w:p>
            <w:pPr>
              <w:pStyle w:val="Normal"/>
              <w:rPr>
                <w:sz w:val="22"/>
              </w:rPr>
            </w:pPr>
            <w:r>
              <w:rPr>
                <w:sz w:val="22"/>
              </w:rPr>
              <w:t>Dynegy Canada Inc.</w:t>
            </w:r>
          </w:p>
          <w:p>
            <w:pPr>
              <w:pStyle w:val="Normal"/>
              <w:ind w:firstLine="720" w:start="360" w:end="0"/>
              <w:rPr>
                <w:sz w:val="22"/>
              </w:rPr>
            </w:pPr>
            <w:r>
              <w:rPr>
                <w:sz w:val="22"/>
              </w:rPr>
            </w:r>
          </w:p>
          <w:p>
            <w:pPr>
              <w:pStyle w:val="Normal"/>
              <w:rPr>
                <w:sz w:val="22"/>
              </w:rPr>
            </w:pPr>
            <w:r>
              <w:rPr>
                <w:sz w:val="22"/>
              </w:rPr>
              <w:t>ENMAX Energy Corporation</w:t>
            </w:r>
          </w:p>
          <w:p>
            <w:pPr>
              <w:pStyle w:val="Normal"/>
              <w:ind w:firstLine="720" w:start="360" w:end="0"/>
              <w:rPr>
                <w:sz w:val="22"/>
              </w:rPr>
            </w:pPr>
            <w:r>
              <w:rPr>
                <w:sz w:val="22"/>
              </w:rPr>
            </w:r>
          </w:p>
          <w:p>
            <w:pPr>
              <w:pStyle w:val="Normal"/>
              <w:rPr>
                <w:sz w:val="22"/>
              </w:rPr>
            </w:pPr>
            <w:r>
              <w:rPr>
                <w:sz w:val="22"/>
              </w:rPr>
              <w:t>Premstar Energy Canada Ltd.</w:t>
            </w:r>
          </w:p>
          <w:p>
            <w:pPr>
              <w:pStyle w:val="Normal"/>
              <w:rPr>
                <w:sz w:val="22"/>
              </w:rPr>
            </w:pPr>
            <w:r>
              <w:rPr>
                <w:sz w:val="22"/>
              </w:rPr>
              <w:t>Toronto Hydro Energy Services</w:t>
            </w:r>
          </w:p>
          <w:p>
            <w:pPr>
              <w:pStyle w:val="Normal"/>
              <w:rPr>
                <w:sz w:val="22"/>
              </w:rPr>
            </w:pPr>
            <w:r>
              <w:rPr>
                <w:sz w:val="22"/>
              </w:rPr>
              <w:t xml:space="preserve"> </w:t>
            </w:r>
            <w:r>
              <w:rPr>
                <w:sz w:val="22"/>
              </w:rPr>
              <w:t>Inc.</w:t>
            </w:r>
          </w:p>
        </w:tc>
        <w:tc>
          <w:tcPr>
            <w:tcW w:w="901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Sent for execution – Counterparty has resolved credit concerns and should be executing the ISDA within the week</w:t>
            </w:r>
          </w:p>
          <w:p>
            <w:pPr>
              <w:pStyle w:val="Normal"/>
              <w:rPr>
                <w:sz w:val="22"/>
              </w:rPr>
            </w:pPr>
            <w:r>
              <w:rPr>
                <w:sz w:val="22"/>
              </w:rPr>
            </w:r>
          </w:p>
          <w:p>
            <w:pPr>
              <w:pStyle w:val="Normal"/>
              <w:rPr>
                <w:sz w:val="22"/>
              </w:rPr>
            </w:pPr>
            <w:r>
              <w:rPr>
                <w:sz w:val="22"/>
              </w:rPr>
              <w:t>Credit review (part of master netting, set-off project)</w:t>
            </w:r>
          </w:p>
          <w:p>
            <w:pPr>
              <w:pStyle w:val="Normal"/>
              <w:rPr>
                <w:sz w:val="22"/>
              </w:rPr>
            </w:pPr>
            <w:r>
              <w:rPr>
                <w:sz w:val="22"/>
              </w:rPr>
            </w:r>
          </w:p>
          <w:p>
            <w:pPr>
              <w:pStyle w:val="Normal"/>
              <w:rPr>
                <w:sz w:val="22"/>
              </w:rPr>
            </w:pPr>
            <w:r>
              <w:rPr>
                <w:sz w:val="22"/>
              </w:rPr>
              <w:t>Mary working on (existing master to be replaced by one w/ENMAX Energy Marketing Corporation</w:t>
            </w:r>
          </w:p>
          <w:p>
            <w:pPr>
              <w:pStyle w:val="Normal"/>
              <w:rPr>
                <w:sz w:val="22"/>
              </w:rPr>
            </w:pPr>
            <w:r>
              <w:rPr>
                <w:sz w:val="22"/>
              </w:rPr>
              <w:t>Sent for execution</w:t>
            </w:r>
          </w:p>
          <w:p>
            <w:pPr>
              <w:pStyle w:val="Normal"/>
              <w:rPr>
                <w:sz w:val="22"/>
              </w:rPr>
            </w:pPr>
            <w:r>
              <w:rPr>
                <w:sz w:val="22"/>
              </w:rPr>
            </w:r>
          </w:p>
          <w:p>
            <w:pPr>
              <w:pStyle w:val="Normal"/>
              <w:rPr>
                <w:sz w:val="22"/>
              </w:rPr>
            </w:pPr>
            <w:r>
              <w:rPr>
                <w:sz w:val="22"/>
              </w:rPr>
              <w:t>First draft sent – no commercial push @ this time</w:t>
            </w:r>
          </w:p>
        </w:tc>
        <w:tc>
          <w:tcPr>
            <w:tcW w:w="2105" w:type="dxa"/>
            <w:tcBorders>
              <w:top w:val="single" w:sz="4" w:space="0" w:color="000000"/>
              <w:start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t>High</w:t>
            </w:r>
          </w:p>
        </w:tc>
      </w:tr>
      <w:tr>
        <w:trPr/>
        <w:tc>
          <w:tcPr>
            <w:tcW w:w="34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firstLine="720" w:start="360" w:end="0"/>
              <w:rPr>
                <w:sz w:val="22"/>
              </w:rPr>
            </w:pPr>
            <w:r>
              <w:rPr>
                <w:sz w:val="22"/>
              </w:rPr>
            </w:r>
          </w:p>
        </w:tc>
        <w:tc>
          <w:tcPr>
            <w:tcW w:w="901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05" w:type="dxa"/>
            <w:tcBorders>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t>Top Ten</w:t>
            </w:r>
          </w:p>
          <w:p>
            <w:pPr>
              <w:pStyle w:val="Normal"/>
              <w:rPr>
                <w:sz w:val="22"/>
              </w:rPr>
            </w:pPr>
            <w:r>
              <w:rPr>
                <w:sz w:val="22"/>
              </w:rPr>
            </w:r>
          </w:p>
          <w:p>
            <w:pPr>
              <w:pStyle w:val="Normal"/>
              <w:rPr>
                <w:sz w:val="22"/>
              </w:rPr>
            </w:pPr>
            <w:r>
              <w:rPr>
                <w:sz w:val="22"/>
              </w:rPr>
              <w:t>High</w:t>
            </w:r>
          </w:p>
          <w:p>
            <w:pPr>
              <w:pStyle w:val="Normal"/>
              <w:rPr>
                <w:sz w:val="22"/>
              </w:rPr>
            </w:pPr>
            <w:r>
              <w:rPr>
                <w:sz w:val="22"/>
              </w:rPr>
            </w:r>
          </w:p>
          <w:p>
            <w:pPr>
              <w:pStyle w:val="Normal"/>
              <w:rPr>
                <w:sz w:val="22"/>
              </w:rPr>
            </w:pPr>
            <w:r>
              <w:rPr>
                <w:sz w:val="22"/>
              </w:rPr>
              <w:t>High</w:t>
            </w:r>
          </w:p>
          <w:p>
            <w:pPr>
              <w:pStyle w:val="Normal"/>
              <w:rPr>
                <w:sz w:val="22"/>
              </w:rPr>
            </w:pPr>
            <w:r>
              <w:rPr>
                <w:sz w:val="22"/>
              </w:rPr>
            </w:r>
          </w:p>
          <w:p>
            <w:pPr>
              <w:pStyle w:val="Normal"/>
              <w:rPr>
                <w:sz w:val="22"/>
              </w:rPr>
            </w:pPr>
            <w:r>
              <w:rPr>
                <w:sz w:val="22"/>
              </w:rPr>
              <w:t>High</w:t>
            </w:r>
          </w:p>
        </w:tc>
      </w:tr>
      <w:tr>
        <w:trPr>
          <w:trHeight w:val="43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b/>
                <w:bCs/>
                <w:sz w:val="22"/>
              </w:rPr>
              <w:t xml:space="preserve">                   </w:t>
            </w:r>
            <w:r>
              <w:rPr>
                <w:b/>
                <w:bCs/>
                <w:sz w:val="22"/>
              </w:rPr>
              <w:t xml:space="preserve">B.  </w:t>
            </w:r>
            <w:r>
              <w:rPr>
                <w:b/>
                <w:bCs/>
                <w:sz w:val="22"/>
                <w:u w:val="single"/>
              </w:rPr>
              <w:t>ENA matters:</w:t>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4710"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AEGIS Insurance Services, Inc.</w:t>
            </w:r>
          </w:p>
          <w:p>
            <w:pPr>
              <w:pStyle w:val="Normal"/>
              <w:rPr>
                <w:sz w:val="22"/>
              </w:rPr>
            </w:pPr>
            <w:r>
              <w:rPr>
                <w:sz w:val="22"/>
              </w:rPr>
              <w:t>AIG Energy Trading, Inc.</w:t>
            </w:r>
          </w:p>
          <w:p>
            <w:pPr>
              <w:pStyle w:val="Normal"/>
              <w:rPr>
                <w:sz w:val="22"/>
              </w:rPr>
            </w:pPr>
            <w:r>
              <w:rPr>
                <w:sz w:val="22"/>
              </w:rPr>
              <w:t xml:space="preserve">Alpac Forest Products Incorporated </w:t>
            </w:r>
          </w:p>
          <w:p>
            <w:pPr>
              <w:pStyle w:val="Normal"/>
              <w:rPr>
                <w:sz w:val="22"/>
              </w:rPr>
            </w:pPr>
            <w:r>
              <w:rPr>
                <w:sz w:val="22"/>
              </w:rPr>
              <w:t>Amerigas Propane, L.P.</w:t>
            </w:r>
          </w:p>
          <w:p>
            <w:pPr>
              <w:pStyle w:val="Normal"/>
              <w:rPr>
                <w:sz w:val="22"/>
              </w:rPr>
            </w:pPr>
            <w:r>
              <w:rPr>
                <w:sz w:val="22"/>
              </w:rPr>
              <w:t>Arch Coal, Inc.</w:t>
            </w:r>
          </w:p>
          <w:p>
            <w:pPr>
              <w:pStyle w:val="Normal"/>
              <w:rPr>
                <w:sz w:val="22"/>
              </w:rPr>
            </w:pPr>
            <w:r>
              <w:rPr>
                <w:sz w:val="22"/>
              </w:rPr>
              <w:t>Bonneville Fuels Corporation</w:t>
            </w:r>
          </w:p>
          <w:p>
            <w:pPr>
              <w:pStyle w:val="Normal"/>
              <w:rPr>
                <w:sz w:val="22"/>
              </w:rPr>
            </w:pPr>
            <w:r>
              <w:rPr>
                <w:sz w:val="22"/>
              </w:rPr>
              <w:t>CITGO Petroleum Corporation</w:t>
            </w:r>
          </w:p>
          <w:p>
            <w:pPr>
              <w:pStyle w:val="Normal"/>
              <w:rPr>
                <w:sz w:val="22"/>
              </w:rPr>
            </w:pPr>
            <w:r>
              <w:rPr>
                <w:sz w:val="22"/>
              </w:rPr>
              <w:t>Cleco Marketing &amp; Trading LLC</w:t>
            </w:r>
          </w:p>
          <w:p>
            <w:pPr>
              <w:pStyle w:val="Normal"/>
              <w:rPr>
                <w:sz w:val="22"/>
              </w:rPr>
            </w:pPr>
            <w:r>
              <w:rPr>
                <w:sz w:val="22"/>
              </w:rPr>
              <w:t>Consolidated Edison Energy, Inc.</w:t>
            </w:r>
          </w:p>
          <w:p>
            <w:pPr>
              <w:pStyle w:val="Normal"/>
              <w:rPr>
                <w:sz w:val="22"/>
              </w:rPr>
            </w:pPr>
            <w:r>
              <w:rPr>
                <w:sz w:val="22"/>
              </w:rPr>
              <w:t>Consolidated Edison Solutions, Inc.</w:t>
            </w:r>
          </w:p>
          <w:p>
            <w:pPr>
              <w:pStyle w:val="Normal"/>
              <w:rPr>
                <w:sz w:val="22"/>
              </w:rPr>
            </w:pPr>
            <w:r>
              <w:rPr>
                <w:sz w:val="22"/>
              </w:rPr>
              <w:t>Consumers Energy, Inc.</w:t>
            </w:r>
          </w:p>
          <w:p>
            <w:pPr>
              <w:pStyle w:val="Normal"/>
              <w:rPr>
                <w:sz w:val="22"/>
              </w:rPr>
            </w:pPr>
            <w:r>
              <w:rPr>
                <w:sz w:val="22"/>
              </w:rPr>
              <w:t>Devon Energy Corporation</w:t>
            </w:r>
          </w:p>
          <w:p>
            <w:pPr>
              <w:pStyle w:val="Normal"/>
              <w:ind w:start="1080" w:end="0"/>
              <w:rPr>
                <w:sz w:val="22"/>
              </w:rPr>
            </w:pPr>
            <w:r>
              <w:rPr>
                <w:sz w:val="22"/>
              </w:rPr>
            </w:r>
          </w:p>
          <w:p>
            <w:pPr>
              <w:pStyle w:val="Normal"/>
              <w:rPr>
                <w:sz w:val="22"/>
              </w:rPr>
            </w:pPr>
            <w:r>
              <w:rPr>
                <w:sz w:val="22"/>
              </w:rPr>
              <w:t>Dominion Exploration &amp; Production, Inc.</w:t>
            </w:r>
          </w:p>
          <w:p>
            <w:pPr>
              <w:pStyle w:val="Normal"/>
              <w:rPr>
                <w:sz w:val="22"/>
              </w:rPr>
            </w:pPr>
            <w:r>
              <w:rPr>
                <w:sz w:val="22"/>
              </w:rPr>
              <w:t>Doublewood XLIM Fund Ltd. (The)</w:t>
            </w:r>
          </w:p>
          <w:p>
            <w:pPr>
              <w:pStyle w:val="Normal"/>
              <w:ind w:start="1080" w:end="0"/>
              <w:rPr>
                <w:sz w:val="22"/>
              </w:rPr>
            </w:pPr>
            <w:r>
              <w:rPr>
                <w:sz w:val="22"/>
              </w:rPr>
            </w:r>
          </w:p>
          <w:p>
            <w:pPr>
              <w:pStyle w:val="Normal"/>
              <w:rPr>
                <w:sz w:val="22"/>
              </w:rPr>
            </w:pPr>
            <w:r>
              <w:rPr>
                <w:sz w:val="22"/>
              </w:rPr>
              <w:t>Dow Jones &amp; Company, Inc.</w:t>
            </w:r>
          </w:p>
          <w:p>
            <w:pPr>
              <w:pStyle w:val="Normal"/>
              <w:rPr>
                <w:sz w:val="22"/>
              </w:rPr>
            </w:pPr>
            <w:r>
              <w:rPr>
                <w:sz w:val="22"/>
              </w:rPr>
              <w:t>Duke Energy Field Services Marketing, LLC</w:t>
            </w:r>
          </w:p>
          <w:p>
            <w:pPr>
              <w:pStyle w:val="Normal"/>
              <w:rPr>
                <w:sz w:val="22"/>
              </w:rPr>
            </w:pPr>
            <w:r>
              <w:rPr>
                <w:sz w:val="22"/>
              </w:rPr>
              <w:t>Duke Energy NGL Services, LP</w:t>
            </w:r>
          </w:p>
          <w:p>
            <w:pPr>
              <w:pStyle w:val="Normal"/>
              <w:rPr>
                <w:sz w:val="22"/>
              </w:rPr>
            </w:pPr>
            <w:r>
              <w:rPr>
                <w:sz w:val="22"/>
              </w:rPr>
              <w:t>Fleet National Bank</w:t>
            </w:r>
          </w:p>
          <w:p>
            <w:pPr>
              <w:pStyle w:val="Normal"/>
              <w:rPr>
                <w:sz w:val="22"/>
              </w:rPr>
            </w:pPr>
            <w:r>
              <w:rPr>
                <w:sz w:val="22"/>
              </w:rPr>
              <w:t>Gibraltar Steel Corporation</w:t>
            </w:r>
          </w:p>
          <w:p>
            <w:pPr>
              <w:pStyle w:val="Normal"/>
              <w:rPr>
                <w:sz w:val="22"/>
              </w:rPr>
            </w:pPr>
            <w:r>
              <w:rPr>
                <w:sz w:val="22"/>
              </w:rPr>
              <w:t>Growmark, Inc.</w:t>
            </w:r>
          </w:p>
          <w:p>
            <w:pPr>
              <w:pStyle w:val="Normal"/>
              <w:rPr>
                <w:sz w:val="22"/>
              </w:rPr>
            </w:pPr>
            <w:r>
              <w:rPr>
                <w:sz w:val="22"/>
              </w:rPr>
              <w:t>Hilcorp Energy I, L.P.</w:t>
            </w:r>
          </w:p>
          <w:p>
            <w:pPr>
              <w:pStyle w:val="Normal"/>
              <w:rPr>
                <w:sz w:val="22"/>
              </w:rPr>
            </w:pPr>
            <w:r>
              <w:rPr>
                <w:sz w:val="22"/>
              </w:rPr>
              <w:t>Hunt Oil Company</w:t>
            </w:r>
          </w:p>
          <w:p>
            <w:pPr>
              <w:pStyle w:val="Normal"/>
              <w:rPr>
                <w:sz w:val="22"/>
              </w:rPr>
            </w:pPr>
            <w:r>
              <w:rPr>
                <w:sz w:val="22"/>
              </w:rPr>
              <w:t>Inland Paperboard &amp; Packaging, Inc.</w:t>
            </w:r>
          </w:p>
          <w:p>
            <w:pPr>
              <w:pStyle w:val="Normal"/>
              <w:rPr>
                <w:sz w:val="22"/>
              </w:rPr>
            </w:pPr>
            <w:r>
              <w:rPr>
                <w:sz w:val="22"/>
              </w:rPr>
              <w:t>KeySpan Energy Services, Inc.</w:t>
            </w:r>
          </w:p>
          <w:p>
            <w:pPr>
              <w:pStyle w:val="Normal"/>
              <w:rPr>
                <w:sz w:val="22"/>
              </w:rPr>
            </w:pPr>
            <w:r>
              <w:rPr>
                <w:sz w:val="22"/>
              </w:rPr>
              <w:t xml:space="preserve">Peoples Gas Light &amp; Coke Company (The) </w:t>
            </w:r>
          </w:p>
          <w:p>
            <w:pPr>
              <w:pStyle w:val="Normal"/>
              <w:ind w:start="1080" w:end="0"/>
              <w:rPr>
                <w:sz w:val="22"/>
              </w:rPr>
            </w:pPr>
            <w:r>
              <w:rPr>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Tanya to respond to Brent’s comments</w:t>
            </w:r>
          </w:p>
          <w:p>
            <w:pPr>
              <w:pStyle w:val="Normal"/>
              <w:rPr>
                <w:sz w:val="22"/>
              </w:rPr>
            </w:pPr>
            <w:r>
              <w:rPr>
                <w:sz w:val="22"/>
              </w:rPr>
              <w:t>Awaiting Counterparty comments to ENA’s response</w:t>
            </w:r>
          </w:p>
          <w:p>
            <w:pPr>
              <w:pStyle w:val="Normal"/>
              <w:rPr>
                <w:sz w:val="22"/>
              </w:rPr>
            </w:pPr>
            <w:r>
              <w:rPr>
                <w:sz w:val="22"/>
              </w:rPr>
              <w:t>Sent for execution – transaction to be approved by joint venture partners</w:t>
            </w:r>
          </w:p>
          <w:p>
            <w:pPr>
              <w:pStyle w:val="Normal"/>
              <w:rPr>
                <w:sz w:val="22"/>
              </w:rPr>
            </w:pPr>
            <w:r>
              <w:rPr>
                <w:sz w:val="22"/>
              </w:rPr>
              <w:t>Darren to follow-up on credit issues</w:t>
            </w:r>
          </w:p>
          <w:p>
            <w:pPr>
              <w:pStyle w:val="Normal"/>
              <w:rPr>
                <w:sz w:val="22"/>
              </w:rPr>
            </w:pPr>
            <w:r>
              <w:rPr>
                <w:sz w:val="22"/>
              </w:rPr>
              <w:t xml:space="preserve">ENA sent response to Arch’s comments </w:t>
            </w:r>
          </w:p>
          <w:p>
            <w:pPr>
              <w:pStyle w:val="Normal"/>
              <w:rPr>
                <w:sz w:val="22"/>
              </w:rPr>
            </w:pPr>
            <w:r>
              <w:rPr>
                <w:sz w:val="22"/>
              </w:rPr>
              <w:t>Max to follow-up on credit issues</w:t>
            </w:r>
          </w:p>
          <w:p>
            <w:pPr>
              <w:pStyle w:val="Normal"/>
              <w:rPr>
                <w:sz w:val="22"/>
              </w:rPr>
            </w:pPr>
            <w:r>
              <w:rPr>
                <w:sz w:val="22"/>
              </w:rPr>
              <w:t>Awaiting comments from Citgo’s outside counsel (McDermott, Will &amp; Emery)</w:t>
            </w:r>
          </w:p>
          <w:p>
            <w:pPr>
              <w:pStyle w:val="Normal"/>
              <w:rPr>
                <w:sz w:val="22"/>
              </w:rPr>
            </w:pPr>
            <w:r>
              <w:rPr>
                <w:sz w:val="22"/>
              </w:rPr>
              <w:t>New draft presented to Counterparty’s counsel</w:t>
            </w:r>
          </w:p>
          <w:p>
            <w:pPr>
              <w:pStyle w:val="Normal"/>
              <w:rPr>
                <w:sz w:val="22"/>
              </w:rPr>
            </w:pPr>
            <w:r>
              <w:rPr>
                <w:sz w:val="22"/>
              </w:rPr>
              <w:t>ISDA comparison w/Sara</w:t>
            </w:r>
          </w:p>
          <w:p>
            <w:pPr>
              <w:pStyle w:val="Normal"/>
              <w:rPr>
                <w:sz w:val="22"/>
              </w:rPr>
            </w:pPr>
            <w:r>
              <w:rPr>
                <w:sz w:val="22"/>
              </w:rPr>
              <w:t>Will mirror CEE ISDA</w:t>
            </w:r>
          </w:p>
          <w:p>
            <w:pPr>
              <w:pStyle w:val="Normal"/>
              <w:rPr>
                <w:sz w:val="22"/>
              </w:rPr>
            </w:pPr>
            <w:r>
              <w:rPr>
                <w:sz w:val="22"/>
              </w:rPr>
              <w:t xml:space="preserve">Counterparty has now provided us with their paper </w:t>
            </w:r>
          </w:p>
          <w:p>
            <w:pPr>
              <w:pStyle w:val="Normal"/>
              <w:rPr>
                <w:sz w:val="22"/>
              </w:rPr>
            </w:pPr>
            <w:r>
              <w:rPr>
                <w:sz w:val="22"/>
              </w:rPr>
              <w:t>Counterparty will now be a Devon limited partnership – working with Cheryl to finalize the agreement</w:t>
            </w:r>
          </w:p>
          <w:p>
            <w:pPr>
              <w:pStyle w:val="Normal"/>
              <w:rPr>
                <w:sz w:val="22"/>
              </w:rPr>
            </w:pPr>
            <w:r>
              <w:rPr>
                <w:sz w:val="22"/>
              </w:rPr>
              <w:t>Counterparty comments received -- Cheryl to visit with Jay (Credit)</w:t>
            </w:r>
          </w:p>
          <w:p>
            <w:pPr>
              <w:pStyle w:val="Normal"/>
              <w:rPr>
                <w:sz w:val="22"/>
              </w:rPr>
            </w:pPr>
            <w:r>
              <w:rPr>
                <w:sz w:val="22"/>
              </w:rPr>
            </w:r>
          </w:p>
          <w:p>
            <w:pPr>
              <w:pStyle w:val="Normal"/>
              <w:rPr>
                <w:sz w:val="22"/>
              </w:rPr>
            </w:pPr>
            <w:r>
              <w:rPr>
                <w:sz w:val="22"/>
              </w:rPr>
              <w:t>Per Counterparty counsel --master &amp; supporting certificates executed (awaiting Cayman counsel’s rendering of a legal opinion) should receive by weeks end</w:t>
            </w:r>
          </w:p>
          <w:p>
            <w:pPr>
              <w:pStyle w:val="Normal"/>
              <w:rPr>
                <w:sz w:val="22"/>
              </w:rPr>
            </w:pPr>
            <w:r>
              <w:rPr>
                <w:sz w:val="22"/>
              </w:rPr>
              <w:t>First draft sent</w:t>
            </w:r>
          </w:p>
          <w:p>
            <w:pPr>
              <w:pStyle w:val="Normal"/>
              <w:rPr>
                <w:sz w:val="22"/>
              </w:rPr>
            </w:pPr>
            <w:r>
              <w:rPr>
                <w:sz w:val="22"/>
              </w:rPr>
              <w:t xml:space="preserve">Counteparty response to our comment received – have provided same to Brent &amp; Darren </w:t>
            </w:r>
          </w:p>
          <w:p>
            <w:pPr>
              <w:pStyle w:val="Normal"/>
              <w:rPr>
                <w:sz w:val="22"/>
              </w:rPr>
            </w:pPr>
            <w:r>
              <w:rPr>
                <w:sz w:val="22"/>
              </w:rPr>
            </w:r>
          </w:p>
          <w:p>
            <w:pPr>
              <w:pStyle w:val="Normal"/>
              <w:rPr>
                <w:sz w:val="22"/>
              </w:rPr>
            </w:pPr>
            <w:r>
              <w:rPr>
                <w:sz w:val="22"/>
              </w:rPr>
              <w:t>Will mirror ISDA with DEFSM</w:t>
            </w:r>
          </w:p>
          <w:p>
            <w:pPr>
              <w:pStyle w:val="Normal"/>
              <w:rPr>
                <w:sz w:val="22"/>
              </w:rPr>
            </w:pPr>
            <w:r>
              <w:rPr>
                <w:sz w:val="22"/>
              </w:rPr>
              <w:t>Francisco working with Credit regarding LC issue</w:t>
            </w:r>
          </w:p>
          <w:p>
            <w:pPr>
              <w:pStyle w:val="Normal"/>
              <w:rPr>
                <w:sz w:val="22"/>
              </w:rPr>
            </w:pPr>
            <w:r>
              <w:rPr>
                <w:sz w:val="22"/>
              </w:rPr>
              <w:t>First draft sent – no commercial push @ this time</w:t>
            </w:r>
          </w:p>
          <w:p>
            <w:pPr>
              <w:pStyle w:val="Normal"/>
              <w:rPr>
                <w:sz w:val="22"/>
              </w:rPr>
            </w:pPr>
            <w:r>
              <w:rPr>
                <w:sz w:val="22"/>
              </w:rPr>
              <w:t>Credit reviewing</w:t>
            </w:r>
          </w:p>
          <w:p>
            <w:pPr>
              <w:pStyle w:val="Normal"/>
              <w:rPr>
                <w:sz w:val="22"/>
              </w:rPr>
            </w:pPr>
            <w:r>
              <w:rPr>
                <w:sz w:val="22"/>
              </w:rPr>
              <w:t xml:space="preserve">Counterparty reviewing the first draft </w:t>
            </w:r>
          </w:p>
          <w:p>
            <w:pPr>
              <w:pStyle w:val="Normal"/>
              <w:rPr>
                <w:sz w:val="22"/>
              </w:rPr>
            </w:pPr>
            <w:r>
              <w:rPr>
                <w:sz w:val="22"/>
              </w:rPr>
              <w:t>First draft sent – Max to follow-up with Counterparty</w:t>
            </w:r>
          </w:p>
          <w:p>
            <w:pPr>
              <w:pStyle w:val="Normal"/>
              <w:rPr>
                <w:sz w:val="22"/>
              </w:rPr>
            </w:pPr>
            <w:r>
              <w:rPr>
                <w:sz w:val="22"/>
              </w:rPr>
              <w:t>EXECUTED -- Master &amp; Guaranty received, still awaiting corporate support docs.</w:t>
            </w:r>
          </w:p>
          <w:p>
            <w:pPr>
              <w:pStyle w:val="Normal"/>
              <w:rPr>
                <w:sz w:val="22"/>
              </w:rPr>
            </w:pPr>
            <w:r>
              <w:rPr>
                <w:sz w:val="22"/>
              </w:rPr>
              <w:t>First draft sent – no commercial push @ this time</w:t>
            </w:r>
          </w:p>
          <w:p>
            <w:pPr>
              <w:pStyle w:val="Normal"/>
              <w:rPr>
                <w:sz w:val="22"/>
              </w:rPr>
            </w:pPr>
            <w:r>
              <w:rPr>
                <w:sz w:val="22"/>
              </w:rPr>
              <w:t>Draft ISDA prepared but awaiting OK from Tanya</w:t>
            </w:r>
          </w:p>
          <w:p>
            <w:pPr>
              <w:pStyle w:val="Normal"/>
              <w:rPr>
                <w:sz w:val="22"/>
              </w:rPr>
            </w:pPr>
            <w:r>
              <w:rPr>
                <w:sz w:val="22"/>
              </w:rPr>
            </w:r>
          </w:p>
          <w:p>
            <w:pPr>
              <w:pStyle w:val="Normal"/>
              <w:rPr>
                <w:sz w:val="22"/>
              </w:rPr>
            </w:pPr>
            <w:r>
              <w:rPr>
                <w:sz w:val="22"/>
              </w:rPr>
            </w:r>
          </w:p>
          <w:p>
            <w:pPr>
              <w:pStyle w:val="Normal"/>
              <w:rPr>
                <w:sz w:val="22"/>
              </w:rPr>
            </w:pPr>
            <w:r>
              <w:rPr>
                <w:sz w:val="22"/>
              </w:rPr>
              <w:t xml:space="preserve"> </w:t>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p>
            <w:pPr>
              <w:pStyle w:val="Normal"/>
              <w:rPr>
                <w:sz w:val="22"/>
              </w:rPr>
            </w:pPr>
            <w:r>
              <w:rPr>
                <w:sz w:val="22"/>
              </w:rPr>
              <w:t>Top Ten</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Medium</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On hold</w:t>
            </w:r>
          </w:p>
          <w:p>
            <w:pPr>
              <w:pStyle w:val="Normal"/>
              <w:rPr>
                <w:sz w:val="22"/>
              </w:rPr>
            </w:pPr>
            <w:r>
              <w:rPr>
                <w:sz w:val="22"/>
              </w:rPr>
            </w:r>
          </w:p>
          <w:p>
            <w:pPr>
              <w:pStyle w:val="Normal"/>
              <w:rPr>
                <w:sz w:val="22"/>
              </w:rPr>
            </w:pPr>
            <w:r>
              <w:rPr>
                <w:sz w:val="22"/>
              </w:rPr>
              <w:t>Low</w:t>
            </w:r>
          </w:p>
          <w:p>
            <w:pPr>
              <w:pStyle w:val="Normal"/>
              <w:rPr>
                <w:sz w:val="22"/>
              </w:rPr>
            </w:pPr>
            <w:r>
              <w:rPr>
                <w:sz w:val="22"/>
              </w:rPr>
            </w:r>
          </w:p>
          <w:p>
            <w:pPr>
              <w:pStyle w:val="Normal"/>
              <w:rPr>
                <w:sz w:val="22"/>
              </w:rPr>
            </w:pPr>
            <w:r>
              <w:rPr>
                <w:sz w:val="22"/>
              </w:rPr>
              <w:t>EXECUTED</w:t>
            </w:r>
          </w:p>
          <w:p>
            <w:pPr>
              <w:pStyle w:val="Normal"/>
              <w:rPr>
                <w:sz w:val="22"/>
              </w:rPr>
            </w:pPr>
            <w:r>
              <w:rPr>
                <w:sz w:val="22"/>
              </w:rPr>
            </w:r>
          </w:p>
          <w:p>
            <w:pPr>
              <w:pStyle w:val="Normal"/>
              <w:rPr>
                <w:sz w:val="22"/>
              </w:rPr>
            </w:pPr>
            <w:r>
              <w:rPr>
                <w:sz w:val="22"/>
              </w:rPr>
              <w:t>High</w:t>
            </w:r>
          </w:p>
          <w:p>
            <w:pPr>
              <w:pStyle w:val="Normal"/>
              <w:rPr>
                <w:sz w:val="22"/>
              </w:rPr>
            </w:pPr>
            <w:r>
              <w:rPr>
                <w:sz w:val="22"/>
              </w:rPr>
              <w:t>High</w:t>
            </w:r>
          </w:p>
          <w:p>
            <w:pPr>
              <w:pStyle w:val="Normal"/>
              <w:rPr>
                <w:sz w:val="22"/>
              </w:rPr>
            </w:pPr>
            <w:r>
              <w:rPr>
                <w:sz w:val="22"/>
              </w:rPr>
            </w:r>
          </w:p>
          <w:p>
            <w:pPr>
              <w:pStyle w:val="Normal"/>
              <w:rPr>
                <w:sz w:val="22"/>
              </w:rPr>
            </w:pPr>
            <w:r>
              <w:rPr>
                <w:sz w:val="22"/>
              </w:rPr>
              <w:t>High</w:t>
            </w:r>
          </w:p>
          <w:p>
            <w:pPr>
              <w:pStyle w:val="Normal"/>
              <w:rPr>
                <w:sz w:val="22"/>
              </w:rPr>
            </w:pPr>
            <w:r>
              <w:rPr>
                <w:sz w:val="22"/>
              </w:rPr>
              <w:t>High</w:t>
            </w:r>
          </w:p>
          <w:p>
            <w:pPr>
              <w:pStyle w:val="Normal"/>
              <w:rPr>
                <w:sz w:val="22"/>
              </w:rPr>
            </w:pPr>
            <w:r>
              <w:rPr>
                <w:sz w:val="22"/>
              </w:rPr>
              <w:t>High</w:t>
            </w:r>
          </w:p>
          <w:p>
            <w:pPr>
              <w:pStyle w:val="Normal"/>
              <w:rPr>
                <w:sz w:val="22"/>
              </w:rPr>
            </w:pPr>
            <w:r>
              <w:rPr>
                <w:sz w:val="22"/>
              </w:rPr>
              <w:t xml:space="preserve">High </w:t>
            </w:r>
          </w:p>
          <w:p>
            <w:pPr>
              <w:pStyle w:val="Normal"/>
              <w:rPr>
                <w:sz w:val="22"/>
              </w:rPr>
            </w:pPr>
            <w:r>
              <w:rPr>
                <w:sz w:val="22"/>
              </w:rPr>
              <w:t>High</w:t>
            </w:r>
          </w:p>
          <w:p>
            <w:pPr>
              <w:pStyle w:val="Normal"/>
              <w:rPr>
                <w:sz w:val="22"/>
              </w:rPr>
            </w:pPr>
            <w:r>
              <w:rPr>
                <w:sz w:val="22"/>
              </w:rPr>
              <w:t>Low</w:t>
            </w:r>
          </w:p>
          <w:p>
            <w:pPr>
              <w:pStyle w:val="Normal"/>
              <w:rPr>
                <w:sz w:val="22"/>
              </w:rPr>
            </w:pPr>
            <w:r>
              <w:rPr>
                <w:sz w:val="22"/>
              </w:rPr>
              <w:t>EXECUTED</w:t>
            </w:r>
          </w:p>
          <w:p>
            <w:pPr>
              <w:pStyle w:val="Normal"/>
              <w:rPr>
                <w:sz w:val="22"/>
              </w:rPr>
            </w:pPr>
            <w:r>
              <w:rPr>
                <w:sz w:val="22"/>
              </w:rPr>
              <w:t>High</w:t>
            </w:r>
          </w:p>
          <w:p>
            <w:pPr>
              <w:pStyle w:val="Normal"/>
              <w:rPr>
                <w:sz w:val="22"/>
              </w:rPr>
            </w:pPr>
            <w:r>
              <w:rPr>
                <w:sz w:val="22"/>
              </w:rPr>
              <w:t>On hold</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c>
      </w:tr>
      <w:tr>
        <w:trPr>
          <w:trHeight w:val="1128"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Rayonier, Inc.</w:t>
            </w:r>
          </w:p>
          <w:p>
            <w:pPr>
              <w:pStyle w:val="Normal"/>
              <w:rPr>
                <w:sz w:val="22"/>
              </w:rPr>
            </w:pPr>
            <w:r>
              <w:rPr>
                <w:sz w:val="22"/>
              </w:rPr>
              <w:t>Schaeffer Industries</w:t>
            </w:r>
          </w:p>
          <w:p>
            <w:pPr>
              <w:pStyle w:val="Normal"/>
              <w:rPr>
                <w:sz w:val="22"/>
              </w:rPr>
            </w:pPr>
            <w:r>
              <w:rPr>
                <w:sz w:val="22"/>
              </w:rPr>
              <w:t>Smith Barney AAA Energy Fund L.P.</w:t>
            </w:r>
          </w:p>
          <w:p>
            <w:pPr>
              <w:pStyle w:val="Normal"/>
              <w:ind w:start="1080" w:end="0"/>
              <w:rPr>
                <w:sz w:val="22"/>
              </w:rPr>
            </w:pPr>
            <w:r>
              <w:rPr>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sent – no commercial push @ this time</w:t>
            </w:r>
          </w:p>
          <w:p>
            <w:pPr>
              <w:pStyle w:val="Normal"/>
              <w:rPr>
                <w:sz w:val="22"/>
              </w:rPr>
            </w:pPr>
            <w:r>
              <w:rPr>
                <w:sz w:val="22"/>
              </w:rPr>
              <w:t>First draft sent – no commercial push @ this time</w:t>
            </w:r>
          </w:p>
          <w:p>
            <w:pPr>
              <w:pStyle w:val="Normal"/>
              <w:rPr>
                <w:sz w:val="22"/>
              </w:rPr>
            </w:pPr>
            <w:r>
              <w:rPr>
                <w:sz w:val="22"/>
              </w:rPr>
              <w:t>EXECUTED – Brent working on Guaranty matter</w:t>
            </w:r>
          </w:p>
          <w:p>
            <w:pPr>
              <w:pStyle w:val="Normal"/>
              <w:rPr>
                <w:sz w:val="22"/>
              </w:rPr>
            </w:pPr>
            <w:r>
              <w:rPr>
                <w:sz w:val="22"/>
              </w:rPr>
            </w:r>
          </w:p>
          <w:p>
            <w:pPr>
              <w:pStyle w:val="Normal"/>
              <w:rPr>
                <w:sz w:val="22"/>
              </w:rPr>
            </w:pPr>
            <w:r>
              <w:rPr>
                <w:sz w:val="22"/>
              </w:rPr>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p>
            <w:pPr>
              <w:pStyle w:val="Normal"/>
              <w:rPr>
                <w:sz w:val="22"/>
              </w:rPr>
            </w:pPr>
            <w:r>
              <w:rPr>
                <w:sz w:val="22"/>
              </w:rPr>
              <w:t>High</w:t>
            </w:r>
          </w:p>
          <w:p>
            <w:pPr>
              <w:pStyle w:val="Normal"/>
              <w:rPr>
                <w:sz w:val="22"/>
              </w:rPr>
            </w:pPr>
            <w:r>
              <w:rPr>
                <w:sz w:val="22"/>
              </w:rPr>
              <w:t>EXECUTED</w:t>
            </w:r>
          </w:p>
          <w:p>
            <w:pPr>
              <w:pStyle w:val="Normal"/>
              <w:rPr>
                <w:sz w:val="22"/>
              </w:rPr>
            </w:pPr>
            <w:r>
              <w:rPr>
                <w:sz w:val="22"/>
              </w:rPr>
            </w:r>
          </w:p>
          <w:p>
            <w:pPr>
              <w:pStyle w:val="Normal"/>
              <w:rPr>
                <w:sz w:val="22"/>
              </w:rPr>
            </w:pPr>
            <w:r>
              <w:rPr>
                <w:sz w:val="22"/>
              </w:rPr>
            </w:r>
          </w:p>
        </w:tc>
      </w:tr>
      <w:tr>
        <w:trPr>
          <w:trHeight w:val="566"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snapToGrid w:val="false"/>
              <w:ind w:start="1080" w:end="0"/>
              <w:rPr>
                <w:sz w:val="22"/>
              </w:rPr>
            </w:pPr>
            <w:r>
              <w:rPr>
                <w:sz w:val="22"/>
              </w:rPr>
            </w:r>
          </w:p>
          <w:p>
            <w:pPr>
              <w:pStyle w:val="Normal"/>
              <w:ind w:start="1080" w:end="0"/>
              <w:rPr>
                <w:b/>
                <w:bCs/>
                <w:sz w:val="22"/>
              </w:rPr>
            </w:pPr>
            <w:r>
              <w:rPr>
                <w:b/>
                <w:bCs/>
                <w:sz w:val="22"/>
              </w:rPr>
              <w:t xml:space="preserve">C.  </w:t>
            </w:r>
            <w:r>
              <w:rPr>
                <w:b/>
                <w:bCs/>
                <w:sz w:val="22"/>
                <w:u w:val="single"/>
              </w:rPr>
              <w:t>RMT masters:</w:t>
            </w:r>
          </w:p>
          <w:p>
            <w:pPr>
              <w:pStyle w:val="Normal"/>
              <w:tabs>
                <w:tab w:val="clear" w:pos="720"/>
                <w:tab w:val="left" w:pos="949" w:leader="none"/>
              </w:tabs>
              <w:rPr>
                <w:b/>
                <w:bCs/>
                <w:sz w:val="22"/>
              </w:rPr>
            </w:pPr>
            <w:r>
              <w:rPr>
                <w:b/>
                <w:bCs/>
                <w:sz w:val="22"/>
              </w:rPr>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42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Development Funding Ltd.</w:t>
            </w:r>
          </w:p>
          <w:p>
            <w:pPr>
              <w:pStyle w:val="Normal"/>
              <w:rPr>
                <w:sz w:val="22"/>
              </w:rPr>
            </w:pPr>
            <w:r>
              <w:rPr>
                <w:sz w:val="22"/>
              </w:rPr>
              <w:t>Enron Metal Recycling GmbH &amp; Co. KG</w:t>
            </w:r>
          </w:p>
        </w:tc>
        <w:tc>
          <w:tcPr>
            <w:tcW w:w="901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 awaiting W-8BEN</w:t>
            </w:r>
          </w:p>
          <w:p>
            <w:pPr>
              <w:pStyle w:val="Normal"/>
              <w:rPr>
                <w:sz w:val="22"/>
              </w:rPr>
            </w:pPr>
            <w:r>
              <w:rPr>
                <w:sz w:val="22"/>
              </w:rPr>
              <w:t>Sent for execution – docs forthcoming</w:t>
            </w:r>
          </w:p>
        </w:tc>
        <w:tc>
          <w:tcPr>
            <w:tcW w:w="2105"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w:t>
            </w:r>
          </w:p>
          <w:p>
            <w:pPr>
              <w:pStyle w:val="Normal"/>
              <w:rPr>
                <w:sz w:val="22"/>
              </w:rPr>
            </w:pPr>
            <w:r>
              <w:rPr>
                <w:sz w:val="22"/>
              </w:rPr>
              <w:t>High</w:t>
            </w:r>
          </w:p>
        </w:tc>
      </w:tr>
      <w:tr>
        <w:trPr>
          <w:trHeight w:val="1636" w:hRule="atLeast"/>
        </w:trPr>
        <w:tc>
          <w:tcPr>
            <w:tcW w:w="349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2"/>
              </w:numPr>
              <w:tabs>
                <w:tab w:val="clear" w:pos="720"/>
                <w:tab w:val="left" w:pos="1080" w:leader="none"/>
              </w:tabs>
              <w:ind w:hanging="720" w:start="1080" w:end="0"/>
              <w:rPr>
                <w:b/>
                <w:bCs/>
                <w:sz w:val="22"/>
              </w:rPr>
            </w:pPr>
            <w:r>
              <w:rPr>
                <w:b/>
                <w:bCs/>
                <w:sz w:val="22"/>
              </w:rPr>
              <w:t>AMENDMENTS:</w:t>
            </w:r>
          </w:p>
          <w:p>
            <w:pPr>
              <w:pStyle w:val="Normal"/>
              <w:ind w:start="360" w:end="0"/>
              <w:rPr>
                <w:b/>
                <w:bCs/>
                <w:sz w:val="22"/>
              </w:rPr>
            </w:pPr>
            <w:r>
              <w:rPr>
                <w:b/>
                <w:bCs/>
                <w:sz w:val="22"/>
              </w:rPr>
            </w:r>
          </w:p>
          <w:p>
            <w:pPr>
              <w:pStyle w:val="Normal"/>
              <w:rPr>
                <w:b/>
                <w:bCs/>
                <w:sz w:val="22"/>
              </w:rPr>
            </w:pPr>
            <w:r>
              <w:rPr>
                <w:sz w:val="22"/>
              </w:rPr>
              <w:t>Louis Dreyfus Natural Gas Corp.</w:t>
            </w:r>
          </w:p>
          <w:p>
            <w:pPr>
              <w:pStyle w:val="Normal"/>
              <w:rPr>
                <w:b/>
                <w:bCs/>
                <w:sz w:val="22"/>
              </w:rPr>
            </w:pPr>
            <w:r>
              <w:rPr>
                <w:sz w:val="22"/>
              </w:rPr>
              <w:t>Tenaska Marketing Ventures</w:t>
            </w:r>
          </w:p>
        </w:tc>
        <w:tc>
          <w:tcPr>
            <w:tcW w:w="9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Cs/>
                <w:sz w:val="22"/>
              </w:rPr>
            </w:pPr>
            <w:r>
              <w:rPr>
                <w:b/>
                <w:bCs/>
                <w:sz w:val="22"/>
              </w:rPr>
            </w:r>
          </w:p>
          <w:p>
            <w:pPr>
              <w:pStyle w:val="Normal"/>
              <w:rPr>
                <w:sz w:val="22"/>
              </w:rPr>
            </w:pPr>
            <w:r>
              <w:rPr>
                <w:sz w:val="22"/>
              </w:rPr>
            </w:r>
          </w:p>
          <w:p>
            <w:pPr>
              <w:pStyle w:val="Normal"/>
              <w:rPr>
                <w:sz w:val="22"/>
              </w:rPr>
            </w:pPr>
            <w:r>
              <w:rPr>
                <w:sz w:val="22"/>
              </w:rPr>
              <w:t>Jay Williams to determine further action</w:t>
            </w:r>
          </w:p>
          <w:p>
            <w:pPr>
              <w:pStyle w:val="Normal"/>
              <w:rPr>
                <w:sz w:val="22"/>
              </w:rPr>
            </w:pPr>
            <w:r>
              <w:rPr>
                <w:sz w:val="22"/>
              </w:rPr>
              <w:t>Francisco working with/Counterparty as to Guaranty issue</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On hold</w:t>
            </w:r>
          </w:p>
          <w:p>
            <w:pPr>
              <w:pStyle w:val="Normal"/>
              <w:rPr>
                <w:sz w:val="22"/>
              </w:rPr>
            </w:pPr>
            <w:r>
              <w:rPr>
                <w:sz w:val="22"/>
              </w:rPr>
              <w:t>Top Ten</w:t>
            </w:r>
          </w:p>
        </w:tc>
      </w:tr>
      <w:tr>
        <w:trPr>
          <w:trHeight w:val="1931"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080" w:leader="none"/>
              </w:tabs>
              <w:ind w:hanging="720" w:start="1080" w:end="0"/>
              <w:rPr>
                <w:b/>
                <w:bCs/>
                <w:sz w:val="22"/>
              </w:rPr>
            </w:pPr>
            <w:r>
              <w:rPr>
                <w:b/>
                <w:bCs/>
                <w:sz w:val="22"/>
              </w:rPr>
              <w:t>OLD MASTERS TO ISDA UPGRADES:</w:t>
            </w:r>
          </w:p>
          <w:p>
            <w:pPr>
              <w:pStyle w:val="Normal"/>
              <w:ind w:firstLine="720" w:start="360" w:end="0"/>
              <w:rPr>
                <w:b/>
                <w:bCs/>
                <w:sz w:val="22"/>
              </w:rPr>
            </w:pPr>
            <w:r>
              <w:rPr>
                <w:b/>
                <w:bCs/>
                <w:sz w:val="22"/>
              </w:rPr>
            </w:r>
          </w:p>
          <w:p>
            <w:pPr>
              <w:pStyle w:val="Normal"/>
              <w:rPr>
                <w:sz w:val="22"/>
              </w:rPr>
            </w:pPr>
            <w:r>
              <w:rPr>
                <w:sz w:val="22"/>
              </w:rPr>
              <w:t>Dynegy Marketing and Trade</w:t>
            </w:r>
          </w:p>
          <w:p>
            <w:pPr>
              <w:pStyle w:val="Heading1"/>
              <w:ind w:start="0" w:end="0"/>
              <w:rPr>
                <w:sz w:val="22"/>
              </w:rPr>
            </w:pPr>
            <w:r>
              <w:rPr>
                <w:b w:val="false"/>
                <w:bCs w:val="false"/>
                <w:sz w:val="22"/>
              </w:rPr>
              <w:t>Frontier Oil Corporation</w:t>
            </w:r>
          </w:p>
          <w:p>
            <w:pPr>
              <w:pStyle w:val="Heading1"/>
              <w:ind w:start="0" w:end="0"/>
              <w:rPr>
                <w:sz w:val="22"/>
              </w:rPr>
            </w:pPr>
            <w:r>
              <w:rPr>
                <w:b w:val="false"/>
                <w:bCs w:val="false"/>
                <w:sz w:val="22"/>
              </w:rPr>
              <w:t>Glencore Ltd.</w:t>
            </w:r>
          </w:p>
          <w:p>
            <w:pPr>
              <w:pStyle w:val="Heading1"/>
              <w:ind w:start="0" w:end="0"/>
              <w:rPr>
                <w:sz w:val="22"/>
              </w:rPr>
            </w:pPr>
            <w:r>
              <w:rPr>
                <w:b w:val="false"/>
                <w:bCs w:val="false"/>
                <w:sz w:val="22"/>
              </w:rPr>
              <w:t>Morgan Stanley Capital Group Inc.</w:t>
            </w:r>
          </w:p>
          <w:p>
            <w:pPr>
              <w:pStyle w:val="Heading1"/>
              <w:ind w:start="0" w:end="0"/>
              <w:rPr>
                <w:sz w:val="22"/>
              </w:rPr>
            </w:pPr>
            <w:r>
              <w:rPr>
                <w:b w:val="false"/>
                <w:bCs w:val="false"/>
                <w:sz w:val="22"/>
              </w:rPr>
              <w:t>Ocean Energy, Inc.</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Credit review (part of master netting, set-off project)</w:t>
            </w:r>
          </w:p>
          <w:p>
            <w:pPr>
              <w:pStyle w:val="Normal"/>
              <w:rPr>
                <w:sz w:val="22"/>
              </w:rPr>
            </w:pPr>
            <w:r>
              <w:rPr>
                <w:sz w:val="22"/>
              </w:rPr>
              <w:t>Darren to provide new credit worksheet</w:t>
            </w:r>
          </w:p>
          <w:p>
            <w:pPr>
              <w:pStyle w:val="Normal"/>
              <w:rPr>
                <w:sz w:val="22"/>
              </w:rPr>
            </w:pPr>
            <w:r>
              <w:rPr>
                <w:sz w:val="22"/>
              </w:rPr>
              <w:t>Anne to visit with Tanya this week -- Counterparty ready to sign</w:t>
            </w:r>
          </w:p>
          <w:p>
            <w:pPr>
              <w:pStyle w:val="Normal"/>
              <w:rPr>
                <w:sz w:val="22"/>
              </w:rPr>
            </w:pPr>
            <w:r>
              <w:rPr>
                <w:sz w:val="22"/>
              </w:rPr>
              <w:t>Counterparty comments received – Sara reviewing</w:t>
            </w:r>
          </w:p>
          <w:p>
            <w:pPr>
              <w:pStyle w:val="Normal"/>
              <w:rPr>
                <w:sz w:val="22"/>
              </w:rPr>
            </w:pPr>
            <w:r>
              <w:rPr>
                <w:sz w:val="22"/>
              </w:rPr>
              <w:t>Fred asked that file be reassigned to another lawyer – Francisco has assumed file from Cheryl</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Very High</w:t>
            </w:r>
          </w:p>
          <w:p>
            <w:pPr>
              <w:pStyle w:val="Normal"/>
              <w:rPr>
                <w:sz w:val="22"/>
              </w:rPr>
            </w:pPr>
            <w:r>
              <w:rPr>
                <w:sz w:val="22"/>
              </w:rPr>
              <w:t>Medium</w:t>
            </w:r>
          </w:p>
          <w:p>
            <w:pPr>
              <w:pStyle w:val="Normal"/>
              <w:rPr>
                <w:sz w:val="22"/>
              </w:rPr>
            </w:pPr>
            <w:r>
              <w:rPr>
                <w:sz w:val="22"/>
              </w:rPr>
              <w:t>High</w:t>
            </w:r>
          </w:p>
          <w:p>
            <w:pPr>
              <w:pStyle w:val="Normal"/>
              <w:rPr>
                <w:sz w:val="22"/>
              </w:rPr>
            </w:pPr>
            <w:r>
              <w:rPr>
                <w:sz w:val="22"/>
              </w:rPr>
              <w:t xml:space="preserve">High </w:t>
            </w:r>
          </w:p>
          <w:p>
            <w:pPr>
              <w:pStyle w:val="Normal"/>
              <w:rPr>
                <w:sz w:val="22"/>
              </w:rPr>
            </w:pPr>
            <w:r>
              <w:rPr>
                <w:sz w:val="22"/>
              </w:rPr>
              <w:t xml:space="preserve">High </w:t>
            </w:r>
          </w:p>
        </w:tc>
      </w:tr>
      <w:tr>
        <w:trPr>
          <w:trHeight w:val="899" w:hRule="atLeast"/>
        </w:trPr>
        <w:tc>
          <w:tcPr>
            <w:tcW w:w="3496"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080" w:leader="none"/>
              </w:tabs>
              <w:ind w:hanging="720" w:start="1080" w:end="0"/>
              <w:rPr>
                <w:b/>
                <w:bCs/>
                <w:sz w:val="22"/>
              </w:rPr>
            </w:pPr>
            <w:r>
              <w:rPr>
                <w:b/>
                <w:bCs/>
                <w:sz w:val="22"/>
              </w:rPr>
              <w:t>SPECIAL PROJECTS:</w:t>
            </w:r>
          </w:p>
          <w:p>
            <w:pPr>
              <w:pStyle w:val="Normal"/>
              <w:tabs>
                <w:tab w:val="clear" w:pos="720"/>
                <w:tab w:val="left" w:pos="1080" w:leader="none"/>
              </w:tabs>
              <w:ind w:start="360" w:end="0"/>
              <w:rPr>
                <w:b/>
                <w:bCs/>
                <w:sz w:val="22"/>
              </w:rPr>
            </w:pPr>
            <w:r>
              <w:rPr>
                <w:b/>
                <w:bCs/>
                <w:sz w:val="22"/>
              </w:rPr>
            </w:r>
          </w:p>
          <w:p>
            <w:pPr>
              <w:pStyle w:val="Normal"/>
              <w:tabs>
                <w:tab w:val="clear" w:pos="720"/>
                <w:tab w:val="left" w:pos="1080" w:leader="none"/>
              </w:tabs>
              <w:rPr>
                <w:sz w:val="22"/>
              </w:rPr>
            </w:pPr>
            <w:r>
              <w:rPr>
                <w:sz w:val="22"/>
              </w:rPr>
              <w:t>Executed Master Agreements List</w:t>
            </w:r>
          </w:p>
          <w:p>
            <w:pPr>
              <w:pStyle w:val="Normal"/>
              <w:tabs>
                <w:tab w:val="clear" w:pos="720"/>
                <w:tab w:val="left" w:pos="1080" w:leader="none"/>
              </w:tabs>
              <w:ind w:start="1080" w:end="0"/>
              <w:rPr>
                <w:sz w:val="22"/>
              </w:rPr>
            </w:pPr>
            <w:r>
              <w:rPr>
                <w:sz w:val="22"/>
              </w:rPr>
            </w:r>
          </w:p>
          <w:p>
            <w:pPr>
              <w:pStyle w:val="Normal"/>
              <w:tabs>
                <w:tab w:val="clear" w:pos="720"/>
                <w:tab w:val="left" w:pos="1080" w:leader="none"/>
              </w:tabs>
              <w:rPr>
                <w:sz w:val="22"/>
              </w:rPr>
            </w:pPr>
            <w:r>
              <w:rPr>
                <w:sz w:val="22"/>
              </w:rPr>
              <w:t>Legal/Credit Report</w:t>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r>
          </w:p>
          <w:p>
            <w:pPr>
              <w:pStyle w:val="Normal"/>
              <w:tabs>
                <w:tab w:val="clear" w:pos="720"/>
                <w:tab w:val="left" w:pos="1080" w:leader="none"/>
              </w:tabs>
              <w:rPr>
                <w:sz w:val="22"/>
              </w:rPr>
            </w:pPr>
            <w:r>
              <w:rPr>
                <w:sz w:val="22"/>
              </w:rPr>
              <w:t>Project KCS -- VPP Deal</w:t>
            </w:r>
          </w:p>
          <w:p>
            <w:pPr>
              <w:pStyle w:val="Normal"/>
              <w:tabs>
                <w:tab w:val="clear" w:pos="720"/>
                <w:tab w:val="left" w:pos="1080" w:leader="none"/>
              </w:tabs>
              <w:ind w:start="1080" w:end="0"/>
              <w:rPr>
                <w:sz w:val="22"/>
              </w:rPr>
            </w:pPr>
            <w:r>
              <w:rPr>
                <w:sz w:val="22"/>
              </w:rPr>
            </w:r>
          </w:p>
          <w:p>
            <w:pPr>
              <w:pStyle w:val="Normal"/>
              <w:tabs>
                <w:tab w:val="clear" w:pos="720"/>
                <w:tab w:val="left" w:pos="1080" w:leader="none"/>
              </w:tabs>
              <w:rPr>
                <w:sz w:val="22"/>
              </w:rPr>
            </w:pPr>
            <w:r>
              <w:rPr>
                <w:sz w:val="22"/>
              </w:rPr>
              <w:t>Project NOL</w:t>
            </w:r>
          </w:p>
          <w:p>
            <w:pPr>
              <w:pStyle w:val="Normal"/>
              <w:tabs>
                <w:tab w:val="clear" w:pos="720"/>
                <w:tab w:val="left" w:pos="1080" w:leader="none"/>
              </w:tabs>
              <w:ind w:start="1080" w:end="0"/>
              <w:rPr>
                <w:sz w:val="22"/>
              </w:rPr>
            </w:pPr>
            <w:r>
              <w:rPr>
                <w:sz w:val="22"/>
              </w:rPr>
            </w:r>
          </w:p>
          <w:p>
            <w:pPr>
              <w:pStyle w:val="Normal"/>
              <w:tabs>
                <w:tab w:val="clear" w:pos="720"/>
                <w:tab w:val="left" w:pos="1080" w:leader="none"/>
              </w:tabs>
              <w:rPr>
                <w:sz w:val="22"/>
              </w:rPr>
            </w:pPr>
            <w:r>
              <w:rPr>
                <w:sz w:val="22"/>
              </w:rPr>
              <w:t>Market Disruption election</w:t>
            </w:r>
          </w:p>
        </w:tc>
        <w:tc>
          <w:tcPr>
            <w:tcW w:w="901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October version delivered via e-mail on October 15</w:t>
            </w:r>
            <w:r>
              <w:rPr>
                <w:sz w:val="22"/>
                <w:vertAlign w:val="superscript"/>
              </w:rPr>
              <w:t>th</w:t>
            </w:r>
          </w:p>
          <w:p>
            <w:pPr>
              <w:pStyle w:val="Normal"/>
              <w:rPr>
                <w:sz w:val="22"/>
                <w:vertAlign w:val="superscript"/>
              </w:rPr>
            </w:pPr>
            <w:r>
              <w:rPr>
                <w:sz w:val="22"/>
                <w:vertAlign w:val="superscript"/>
              </w:rPr>
            </w:r>
          </w:p>
          <w:p>
            <w:pPr>
              <w:pStyle w:val="Normal"/>
              <w:rPr/>
            </w:pPr>
            <w:r>
              <w:rPr>
                <w:sz w:val="22"/>
              </w:rPr>
              <w:t>September 25</w:t>
            </w:r>
            <w:r>
              <w:rPr>
                <w:sz w:val="22"/>
                <w:vertAlign w:val="superscript"/>
              </w:rPr>
              <w:t>th</w:t>
            </w:r>
            <w:r>
              <w:rPr>
                <w:sz w:val="22"/>
              </w:rPr>
              <w:t xml:space="preserve"> Report distributed to Legal/Credit recipients on September 28th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Organized closing materials for distribution and filing relating to recent Swiss Re/KStar closing</w:t>
            </w:r>
          </w:p>
          <w:p>
            <w:pPr>
              <w:pStyle w:val="Normal"/>
              <w:rPr>
                <w:sz w:val="22"/>
              </w:rPr>
            </w:pPr>
            <w:r>
              <w:rPr>
                <w:sz w:val="22"/>
              </w:rPr>
            </w:r>
          </w:p>
          <w:p>
            <w:pPr>
              <w:pStyle w:val="Normal"/>
              <w:rPr>
                <w:sz w:val="22"/>
              </w:rPr>
            </w:pPr>
            <w:r>
              <w:rPr>
                <w:sz w:val="22"/>
              </w:rPr>
              <w:t>Project delayed – await further word from Lou Stoler &amp; Stephen Douglas</w:t>
            </w:r>
          </w:p>
          <w:p>
            <w:pPr>
              <w:pStyle w:val="Normal"/>
              <w:rPr>
                <w:sz w:val="22"/>
              </w:rPr>
            </w:pPr>
            <w:r>
              <w:rPr>
                <w:sz w:val="22"/>
              </w:rPr>
            </w:r>
          </w:p>
          <w:p>
            <w:pPr>
              <w:pStyle w:val="Normal"/>
              <w:rPr>
                <w:sz w:val="22"/>
              </w:rPr>
            </w:pPr>
            <w:r>
              <w:rPr>
                <w:sz w:val="22"/>
              </w:rPr>
              <w:t xml:space="preserve">Each paralegal was assigned 157 executed counterparty masters to determine how market disruption was handled.  Each paralegal is to update the respective counterparties’ financial trading database entry to note whether the master agreement includes a standard or negotiaited provision or if the master agreement is silent as to market disruption </w:t>
            </w:r>
          </w:p>
        </w:tc>
        <w:tc>
          <w:tcPr>
            <w:tcW w:w="2105"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p>
            <w:pPr>
              <w:pStyle w:val="Normal"/>
              <w:rPr>
                <w:sz w:val="22"/>
              </w:rPr>
            </w:pPr>
            <w:r>
              <w:rPr>
                <w:sz w:val="22"/>
              </w:rPr>
            </w:r>
          </w:p>
          <w:p>
            <w:pPr>
              <w:pStyle w:val="Normal"/>
              <w:rPr/>
            </w:pPr>
            <w:r>
              <w:rPr>
                <w:sz w:val="22"/>
              </w:rPr>
              <w:t>By the 15</w:t>
            </w:r>
            <w:r>
              <w:rPr>
                <w:sz w:val="22"/>
                <w:vertAlign w:val="superscript"/>
              </w:rPr>
              <w:t>th</w:t>
            </w:r>
            <w:r>
              <w:rPr>
                <w:sz w:val="22"/>
              </w:rPr>
              <w:t xml:space="preserve"> of every month</w:t>
            </w:r>
          </w:p>
          <w:p>
            <w:pPr>
              <w:pStyle w:val="Normal"/>
              <w:rPr>
                <w:sz w:val="22"/>
              </w:rPr>
            </w:pPr>
            <w:r>
              <w:rPr>
                <w:sz w:val="22"/>
              </w:rPr>
            </w:r>
          </w:p>
          <w:p>
            <w:pPr>
              <w:pStyle w:val="Normal"/>
              <w:rPr>
                <w:sz w:val="22"/>
              </w:rPr>
            </w:pPr>
            <w:r>
              <w:rPr>
                <w:sz w:val="22"/>
              </w:rPr>
              <w:t>Distributed on the Friday after the Tuesday bi-monthly meetings</w:t>
            </w:r>
          </w:p>
          <w:p>
            <w:pPr>
              <w:pStyle w:val="Normal"/>
              <w:rPr>
                <w:sz w:val="22"/>
              </w:rPr>
            </w:pPr>
            <w:r>
              <w:rPr>
                <w:sz w:val="22"/>
              </w:rPr>
            </w:r>
          </w:p>
          <w:p>
            <w:pPr>
              <w:pStyle w:val="Normal"/>
              <w:rPr>
                <w:sz w:val="22"/>
              </w:rPr>
            </w:pPr>
            <w:r>
              <w:rPr>
                <w:sz w:val="22"/>
              </w:rPr>
              <w:t>COMPLETED</w:t>
            </w:r>
          </w:p>
          <w:p>
            <w:pPr>
              <w:pStyle w:val="Normal"/>
              <w:rPr>
                <w:sz w:val="22"/>
              </w:rPr>
            </w:pPr>
            <w:r>
              <w:rPr>
                <w:sz w:val="22"/>
              </w:rPr>
            </w:r>
          </w:p>
          <w:p>
            <w:pPr>
              <w:pStyle w:val="Normal"/>
              <w:rPr>
                <w:sz w:val="22"/>
              </w:rPr>
            </w:pPr>
            <w:r>
              <w:rPr>
                <w:sz w:val="22"/>
              </w:rPr>
              <w:t>Year end (12/31/01)</w:t>
            </w:r>
          </w:p>
          <w:p>
            <w:pPr>
              <w:pStyle w:val="Normal"/>
              <w:rPr>
                <w:sz w:val="22"/>
              </w:rPr>
            </w:pPr>
            <w:r>
              <w:rPr>
                <w:sz w:val="22"/>
              </w:rPr>
            </w:r>
          </w:p>
          <w:p>
            <w:pPr>
              <w:pStyle w:val="Normal"/>
              <w:rPr>
                <w:sz w:val="22"/>
              </w:rPr>
            </w:pPr>
            <w:r>
              <w:rPr>
                <w:sz w:val="22"/>
              </w:rPr>
              <w:t>COMPLETED review of my 157executed counterparty masters.   I am now working on those formerly assigned to Tana</w:t>
            </w:r>
          </w:p>
          <w:p>
            <w:pPr>
              <w:pStyle w:val="Normal"/>
              <w:rPr>
                <w:sz w:val="22"/>
              </w:rPr>
            </w:pPr>
            <w:r>
              <w:rPr>
                <w:sz w:val="22"/>
              </w:rPr>
            </w:r>
          </w:p>
        </w:tc>
      </w:tr>
    </w:tbl>
    <w:p>
      <w:pPr>
        <w:pStyle w:val="Header"/>
        <w:tabs>
          <w:tab w:val="clear" w:pos="4320"/>
          <w:tab w:val="clear" w:pos="8640"/>
        </w:tabs>
        <w:rPr/>
      </w:pPr>
      <w:r>
        <w:rPr/>
      </w:r>
    </w:p>
    <w:sectPr>
      <w:headerReference w:type="default" r:id="rId2"/>
      <w:footerReference w:type="default" r:id="rId3"/>
      <w:type w:val="nextPage"/>
      <w:pgSz w:orient="landscape" w:w="15840" w:h="12240"/>
      <w:pgMar w:left="720" w:right="72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/mnt/main-storage/datasets/enron-docs/doc/Project_List_in_Tables__10_02_01_.doc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4</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u w:val="single"/>
      </w:rPr>
    </w:pPr>
    <w:r>
      <w:rPr>
        <w:b/>
        <w:bCs/>
        <w:u w:val="single"/>
      </w:rPr>
      <w:t>Dated as of: 10/02/2001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2001-08-16T14:58:00Z</dcterms:created>
  <dc:creator>protmp3</dc:creator>
  <dc:description/>
  <dc:language>en-CA</dc:language>
  <cp:lastModifiedBy>sbaile2</cp:lastModifiedBy>
  <cp:lastPrinted>2001-09-19T09:34:00Z</cp:lastPrinted>
  <dcterms:modified xsi:type="dcterms:W3CDTF">2001-10-01T18:59:00Z</dcterms:modified>
  <cp:revision>31</cp:revision>
  <dc:subject/>
  <dc:title>PROJECT</dc:title>
</cp:coreProperties>
</file>