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SARA SHACKLETON PROJECT LIST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August 14, 2000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7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3420"/>
        <w:gridCol w:w="10260"/>
        <w:gridCol w:w="3330"/>
      </w:tblGrid>
      <w:tr>
        <w:trPr>
          <w:tblHeader w:val="true"/>
        </w:trPr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PROJECT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STATUS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PRIORITY</w:t>
            </w:r>
          </w:p>
        </w:tc>
      </w:tr>
      <w:tr>
        <w:trPr>
          <w:tblHeader w:val="true"/>
        </w:trPr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The following files are TOP TENs: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Cinergy Marketing &amp; Trading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PanCanadian Energy Services, Inc.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Very 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75" w:hRule="atLeast"/>
        </w:trPr>
        <w:tc>
          <w:tcPr>
            <w:tcW w:w="3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/>
            </w:pPr>
            <w:r>
              <w:rPr/>
              <w:t>HICKERSON BUSINESS UNIT</w:t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/>
              <w:t>(a)</w:t>
              <w:tab/>
              <w:t>Drafting Brokerage, Futures, Repo and Give Up Agreements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See attached list of Brokerage Agreements dated 8/11/00</w:t>
            </w:r>
          </w:p>
          <w:p>
            <w:pPr>
              <w:pStyle w:val="Normal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>
                <w:sz w:val="22"/>
              </w:rPr>
              <w:t>(b)</w:t>
              <w:tab/>
              <w:t>Ag Trading</w:t>
            </w:r>
          </w:p>
        </w:tc>
        <w:tc>
          <w:tcPr>
            <w:tcW w:w="10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bCs/>
                <w:u w:val="none"/>
              </w:rPr>
            </w:pPr>
            <w:r>
              <w:rPr>
                <w:bCs/>
                <w:u w:val="none"/>
              </w:rPr>
              <w:t>Bob working with Elsa, McKenzie and Networks to anticipate trading; also with Sidley &amp; Austin to create Ag "whitepaper"; researching viability of ATOM</w:t>
            </w:r>
          </w:p>
          <w:p>
            <w:pPr>
              <w:pStyle w:val="Normal"/>
              <w:rPr>
                <w:bCs/>
                <w:u w:val="none"/>
              </w:rPr>
            </w:pPr>
            <w:r>
              <w:rPr>
                <w:bCs/>
                <w:u w:val="none"/>
              </w:rPr>
            </w:r>
          </w:p>
        </w:tc>
        <w:tc>
          <w:tcPr>
            <w:tcW w:w="33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/>
        <w:tc>
          <w:tcPr>
            <w:tcW w:w="37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>(c)</w:t>
              <w:tab/>
              <w:t>Monitor Accounts</w:t>
            </w:r>
          </w:p>
        </w:tc>
        <w:tc>
          <w:tcPr>
            <w:tcW w:w="10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bCs/>
                <w:u w:val="none"/>
              </w:rPr>
            </w:pPr>
            <w:r>
              <w:rPr>
                <w:bCs/>
                <w:u w:val="none"/>
              </w:rPr>
              <w:t>Donna Lowry has sent letters to all Enron affiliate general counsels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u w:val="none"/>
              </w:rPr>
            </w:pPr>
            <w:r>
              <w:rPr>
                <w:bCs/>
                <w:u w:val="none"/>
              </w:rPr>
            </w:r>
          </w:p>
        </w:tc>
        <w:tc>
          <w:tcPr>
            <w:tcW w:w="33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7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>(d)</w:t>
              <w:tab/>
              <w:t>Distressed Loans</w:t>
            </w:r>
          </w:p>
        </w:tc>
        <w:tc>
          <w:tcPr>
            <w:tcW w:w="10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bCs/>
                <w:u w:val="none"/>
              </w:rPr>
            </w:pPr>
            <w:r>
              <w:rPr>
                <w:u w:val="none"/>
              </w:rPr>
              <w:t>Reviewing LSTA Standard Terms and Conditions (for distressed debt) DB – Tokheim</w:t>
            </w:r>
          </w:p>
          <w:p>
            <w:pPr>
              <w:pStyle w:val="Normal"/>
              <w:rPr>
                <w:bCs/>
                <w:u w:val="none"/>
              </w:rPr>
            </w:pPr>
            <w:r>
              <w:rPr>
                <w:bCs/>
                <w:u w:val="none"/>
              </w:rPr>
            </w:r>
          </w:p>
        </w:tc>
        <w:tc>
          <w:tcPr>
            <w:tcW w:w="33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7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>(e)</w:t>
              <w:tab/>
              <w:t>Australia</w:t>
            </w:r>
          </w:p>
        </w:tc>
        <w:tc>
          <w:tcPr>
            <w:tcW w:w="10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bCs/>
                <w:u w:val="none"/>
              </w:rPr>
            </w:pPr>
            <w:r>
              <w:rPr>
                <w:bCs/>
                <w:u w:val="none"/>
              </w:rPr>
              <w:t>Work with Shane Dallmann (Hickerson group)</w:t>
            </w:r>
          </w:p>
          <w:p>
            <w:pPr>
              <w:pStyle w:val="Normal"/>
              <w:rPr>
                <w:bCs/>
                <w:u w:val="none"/>
              </w:rPr>
            </w:pPr>
            <w:r>
              <w:rPr>
                <w:bCs/>
                <w:u w:val="none"/>
              </w:rPr>
            </w:r>
          </w:p>
        </w:tc>
        <w:tc>
          <w:tcPr>
            <w:tcW w:w="33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>
                <w:sz w:val="22"/>
              </w:rPr>
              <w:t>(f)</w:t>
              <w:tab/>
              <w:t>Research Futures and Brokerage Agreements</w:t>
            </w:r>
          </w:p>
        </w:tc>
        <w:tc>
          <w:tcPr>
            <w:tcW w:w="10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>
                <w:bCs/>
                <w:u w:val="none"/>
              </w:rPr>
            </w:pPr>
            <w:r>
              <w:rPr>
                <w:bCs/>
                <w:u w:val="none"/>
              </w:rPr>
              <w:t>Working with Paul Radous to review clearing and non-clearing broker credit risks with respect to international futures and equities exchanges</w:t>
            </w:r>
          </w:p>
        </w:tc>
        <w:tc>
          <w:tcPr>
            <w:tcW w:w="33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  <w:u w:val="none"/>
              </w:rPr>
            </w:pPr>
            <w:r>
              <w:rPr>
                <w:bCs/>
                <w:sz w:val="22"/>
                <w:u w:val="none"/>
              </w:rPr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Global Finance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numPr>
                <w:ilvl w:val="0"/>
                <w:numId w:val="4"/>
              </w:numPr>
              <w:ind w:hanging="360" w:start="342" w:end="0"/>
              <w:rPr/>
            </w:pPr>
            <w:r>
              <w:rPr/>
              <w:t>Enron PATS 2000 – 1 ECM Transaction re:  ENE 28 year bond issuance with 3 year put feature; currency swaps with UBS/Trust and ENE</w:t>
            </w:r>
          </w:p>
          <w:p>
            <w:pPr>
              <w:pStyle w:val="BodyTextIndent"/>
              <w:numPr>
                <w:ilvl w:val="0"/>
                <w:numId w:val="4"/>
              </w:numPr>
              <w:ind w:hanging="360" w:start="342" w:end="0"/>
              <w:rPr/>
            </w:pPr>
            <w:r>
              <w:rPr/>
              <w:t>Project Raptor (Harrier/EBS Master; 2 equity swaps)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42" w:leader="none"/>
              </w:tabs>
              <w:ind w:hanging="360" w:start="342" w:end="0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Other Assets (TBD)</w:t>
            </w:r>
          </w:p>
          <w:p>
            <w:pPr>
              <w:pStyle w:val="Normal"/>
              <w:ind w:start="-18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 hold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Equity Derivatives/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ind w:hanging="720" w:start="720" w:end="0"/>
              <w:rPr>
                <w:b/>
                <w:sz w:val="22"/>
              </w:rPr>
            </w:pPr>
            <w:r>
              <w:rPr>
                <w:b/>
                <w:sz w:val="22"/>
              </w:rPr>
              <w:t>Work with Enron Corp. to put equity Masters in place with: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702" w:leader="none"/>
              </w:tabs>
              <w:ind w:hanging="360" w:start="702" w:end="0"/>
              <w:rPr>
                <w:b/>
                <w:sz w:val="22"/>
              </w:rPr>
            </w:pPr>
            <w:r>
              <w:rPr>
                <w:b/>
                <w:sz w:val="22"/>
              </w:rPr>
              <w:t>Bear, Stearns International Limited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22" w:leader="none"/>
                <w:tab w:val="left" w:pos="702" w:leader="none"/>
              </w:tabs>
              <w:ind w:hanging="360" w:start="702" w:end="0"/>
              <w:rPr>
                <w:b/>
                <w:sz w:val="22"/>
              </w:rPr>
            </w:pPr>
            <w:r>
              <w:rPr>
                <w:b/>
                <w:sz w:val="22"/>
              </w:rPr>
              <w:t>CSFB International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22" w:leader="none"/>
                <w:tab w:val="left" w:pos="702" w:leader="none"/>
              </w:tabs>
              <w:ind w:hanging="360" w:start="702" w:end="0"/>
              <w:rPr>
                <w:b/>
                <w:sz w:val="22"/>
              </w:rPr>
            </w:pPr>
            <w:r>
              <w:rPr>
                <w:b/>
                <w:sz w:val="22"/>
              </w:rPr>
              <w:t>Deutsche Bank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22" w:leader="none"/>
                <w:tab w:val="left" w:pos="702" w:leader="none"/>
              </w:tabs>
              <w:ind w:hanging="360" w:start="702" w:end="0"/>
              <w:rPr>
                <w:b/>
                <w:sz w:val="22"/>
              </w:rPr>
            </w:pPr>
            <w:r>
              <w:rPr>
                <w:b/>
                <w:sz w:val="22"/>
              </w:rPr>
              <w:t>Lehman Brothers Finance S.A.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522" w:leader="none"/>
                <w:tab w:val="left" w:pos="702" w:leader="none"/>
              </w:tabs>
              <w:ind w:hanging="360" w:start="702" w:end="0"/>
              <w:rPr>
                <w:b/>
                <w:sz w:val="22"/>
              </w:rPr>
            </w:pPr>
            <w:r>
              <w:rPr>
                <w:b/>
                <w:sz w:val="22"/>
              </w:rPr>
              <w:t>Morgan Stanley Capital Services Inc.</w:t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(b)</w:t>
              <w:tab/>
              <w:t>Review equity forward and swap confirmations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Paper &amp; Pulp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(a)</w:t>
              <w:tab/>
              <w:t>Omnibus true-up with Bob Crane; confirm sentence re: "illiquid market"</w:t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(b)</w:t>
              <w:tab/>
              <w:t>have asked Mary Cook to assume primary responsibility for this area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Power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PPL Corporation – discuss confirmation format</w:t>
            </w:r>
          </w:p>
          <w:p>
            <w:pPr>
              <w:pStyle w:val="Heading1"/>
              <w:rPr/>
            </w:pPr>
            <w:r>
              <w:rPr/>
              <w:tab/>
              <w:t>Citizens Power Sales – resolve confirmation format (#1)</w:t>
            </w:r>
          </w:p>
          <w:p>
            <w:pPr>
              <w:pStyle w:val="Heading1"/>
              <w:rPr/>
            </w:pPr>
            <w:r>
              <w:rPr/>
              <w:tab/>
              <w:t>Niagra Mohawk – discuss confirmation format</w:t>
            </w:r>
          </w:p>
          <w:p>
            <w:pPr>
              <w:pStyle w:val="Heading1"/>
              <w:rPr/>
            </w:pPr>
            <w:r>
              <w:rPr/>
              <w:tab/>
              <w:t>American Electric Power – resolve confirmation format (#2)</w:t>
            </w:r>
          </w:p>
          <w:p>
            <w:pPr>
              <w:pStyle w:val="Heading1"/>
              <w:rPr>
                <w:b w:val="false"/>
                <w:bCs/>
              </w:rPr>
            </w:pPr>
            <w:r>
              <w:rPr/>
              <w:tab/>
              <w:t>Keyspan Energy – discuss confirmation format Merchant Energy Group of the Americas Inc. (#3)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(b)</w:t>
              <w:tab/>
              <w:t>draft agreement for confirming short term trades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(c)</w:t>
              <w:tab/>
              <w:t>review financial power templates with Melissa Murphy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>(d)</w:t>
              <w:tab/>
              <w:t>organize training for power confirm, settlements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>(e)</w:t>
              <w:tab/>
              <w:t>prepare trader script for financial power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(f)</w:t>
              <w:tab/>
              <w:t>utility “agency” issues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EI Divestiture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Work with credit, Pushkar to transfer/unwind existing positions.  Pushkar to identify affected transactions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Very High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Plastics</w:t>
            </w:r>
          </w:p>
        </w:tc>
        <w:tc>
          <w:tcPr>
            <w:tcW w:w="10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Con-Agra:  Market Disruption or Price Revision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</w:p>
  <w:p>
    <w:pPr>
      <w:pStyle w:val="Footer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/mnt/main-storage/datasets/enron-docs/doc/Project_List-5cee1789b219bc158a9339b693e0128d998ef313f1b8f57201c2f0253862d5f8.doc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Sara Shackleton Project List</w:t>
    </w:r>
  </w:p>
  <w:p>
    <w:pPr>
      <w:pStyle w:val="Header"/>
      <w:jc w:val="center"/>
      <w:rPr>
        <w:b/>
        <w:bCs/>
      </w:rPr>
    </w:pPr>
    <w:r>
      <w:rPr>
        <w:b/>
        <w:bCs/>
      </w:rPr>
      <w:t>August 14, 2000</w:t>
    </w:r>
  </w:p>
  <w:p>
    <w:pPr>
      <w:pStyle w:val="Header"/>
      <w:rPr>
        <w:b/>
        <w:bCs/>
      </w:rPr>
    </w:pPr>
    <w:r>
      <w:rPr>
        <w:b/>
        <w:b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22"/>
        </w:tabs>
        <w:ind w:start="522" w:hanging="36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22" w:leader="none"/>
      </w:tabs>
      <w:ind w:hanging="0" w:start="72" w:end="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  <w:u w:val="single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342" w:leader="none"/>
      </w:tabs>
      <w:ind w:hanging="342" w:start="342" w:end="0"/>
    </w:pPr>
    <w:rPr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2000-05-10T17:35:00Z</dcterms:created>
  <dc:creator>ECT</dc:creator>
  <dc:description/>
  <dc:language>en-CA</dc:language>
  <cp:lastModifiedBy>kellis</cp:lastModifiedBy>
  <cp:lastPrinted>2000-08-15T10:44:00Z</cp:lastPrinted>
  <dcterms:modified xsi:type="dcterms:W3CDTF">2000-08-15T13:17:00Z</dcterms:modified>
  <cp:revision>28</cp:revision>
  <dc:subject/>
  <dc:title>OUTSTANDING PROJECTS:</dc:title>
</cp:coreProperties>
</file>