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end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SARA SHACKLETON PROJECT LIST</w:t>
      </w:r>
    </w:p>
    <w:p>
      <w:pPr>
        <w:pStyle w:val="Normal"/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June 7, 2000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05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8"/>
        <w:gridCol w:w="2520"/>
        <w:gridCol w:w="6210"/>
        <w:gridCol w:w="1440"/>
      </w:tblGrid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PROJECT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STATUS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PRIORITY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ISDA negotiations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The following files are TOP TENs: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None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2"/>
              </w:rPr>
            </w:pPr>
            <w:r>
              <w:rPr>
                <w:sz w:val="22"/>
              </w:rPr>
              <w:t>Drafting Brokerage, Futures, Repo and Give Up Agreements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342" w:leader="none"/>
              </w:tabs>
              <w:ind w:hanging="342" w:start="342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tabs>
                <w:tab w:val="clear" w:pos="720"/>
                <w:tab w:val="left" w:pos="342" w:leader="none"/>
              </w:tabs>
              <w:ind w:hanging="342" w:start="342" w:end="0"/>
              <w:rPr>
                <w:sz w:val="22"/>
              </w:rPr>
            </w:pPr>
            <w:r>
              <w:rPr>
                <w:sz w:val="22"/>
              </w:rPr>
              <w:t>(b) Research Futures and Brokerage Agreements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ENA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522" w:leader="none"/>
              </w:tabs>
              <w:ind w:hanging="360" w:start="522" w:end="0"/>
              <w:rPr>
                <w:b/>
                <w:sz w:val="22"/>
              </w:rPr>
            </w:pPr>
            <w:r>
              <w:rPr>
                <w:b/>
                <w:sz w:val="22"/>
              </w:rPr>
              <w:t>ABN Amro (Australia branch) – futures for ENA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522" w:leader="none"/>
              </w:tabs>
              <w:ind w:hanging="360" w:start="522" w:end="0"/>
              <w:rPr>
                <w:b/>
                <w:sz w:val="22"/>
              </w:rPr>
            </w:pPr>
            <w:r>
              <w:rPr>
                <w:b/>
                <w:sz w:val="22"/>
              </w:rPr>
              <w:t>R.J. O'Brien – futures for ENA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522" w:leader="none"/>
              </w:tabs>
              <w:ind w:hanging="360" w:start="522" w:end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Chase – awaiting response on repo 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522" w:leader="none"/>
              </w:tabs>
              <w:ind w:hanging="360" w:start="522" w:end="0"/>
              <w:rPr>
                <w:b/>
                <w:sz w:val="22"/>
              </w:rPr>
            </w:pPr>
            <w:r>
              <w:rPr>
                <w:b/>
                <w:sz w:val="22"/>
              </w:rPr>
              <w:t>Bank One – Give Up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522" w:leader="none"/>
              </w:tabs>
              <w:ind w:hanging="360" w:start="522" w:end="0"/>
              <w:rPr>
                <w:b/>
                <w:sz w:val="22"/>
              </w:rPr>
            </w:pPr>
            <w:r>
              <w:rPr>
                <w:b/>
                <w:sz w:val="22"/>
              </w:rPr>
              <w:t>Ing Barings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clear" w:pos="720"/>
                <w:tab w:val="left" w:pos="522" w:leader="none"/>
              </w:tabs>
              <w:ind w:hanging="360" w:start="522" w:end="0"/>
              <w:rPr>
                <w:b/>
                <w:sz w:val="22"/>
              </w:rPr>
            </w:pPr>
            <w:r>
              <w:rPr>
                <w:b/>
                <w:sz w:val="22"/>
              </w:rPr>
              <w:t>Nesbitt Burns - repo</w:t>
            </w:r>
          </w:p>
          <w:p>
            <w:pPr>
              <w:pStyle w:val="Heading2"/>
              <w:ind w:hanging="0" w:start="0"/>
              <w:rPr/>
            </w:pPr>
            <w:r>
              <w:rPr/>
              <w:t>Bridgeline Gas Marketing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22" w:leader="none"/>
              </w:tabs>
              <w:ind w:hanging="360" w:start="522" w:end="0"/>
              <w:rPr>
                <w:b/>
                <w:sz w:val="22"/>
              </w:rPr>
            </w:pPr>
            <w:r>
              <w:rPr>
                <w:b/>
                <w:sz w:val="22"/>
              </w:rPr>
              <w:t>Sakura Delsher – futures for Bridgeline Gas Marketing</w:t>
            </w:r>
          </w:p>
          <w:p>
            <w:pPr>
              <w:pStyle w:val="Heading2"/>
              <w:ind w:hanging="0" w:start="0"/>
              <w:rPr/>
            </w:pPr>
            <w:r>
              <w:rPr/>
              <w:t>ECT Investments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22" w:leader="none"/>
              </w:tabs>
              <w:ind w:hanging="360" w:start="522" w:end="0"/>
              <w:rPr>
                <w:b/>
                <w:sz w:val="22"/>
              </w:rPr>
            </w:pPr>
            <w:r>
              <w:rPr>
                <w:b/>
                <w:sz w:val="22"/>
              </w:rPr>
              <w:t>Direct Trading</w:t>
            </w:r>
          </w:p>
          <w:p>
            <w:pPr>
              <w:pStyle w:val="Heading4"/>
              <w:numPr>
                <w:ilvl w:val="0"/>
                <w:numId w:val="6"/>
              </w:numPr>
              <w:tabs>
                <w:tab w:val="clear" w:pos="720"/>
                <w:tab w:val="left" w:pos="522" w:leader="none"/>
              </w:tabs>
              <w:ind w:hanging="360" w:start="522" w:end="0"/>
              <w:rPr/>
            </w:pPr>
            <w:r>
              <w:rPr/>
              <w:t>Hambrecht &amp; Quist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22" w:leader="none"/>
              </w:tabs>
              <w:ind w:hanging="360" w:start="522" w:end="0"/>
              <w:rPr>
                <w:b/>
                <w:sz w:val="22"/>
              </w:rPr>
            </w:pPr>
            <w:r>
              <w:rPr>
                <w:b/>
                <w:sz w:val="22"/>
              </w:rPr>
              <w:t>Thomas Wiesel</w:t>
            </w:r>
          </w:p>
          <w:p>
            <w:pPr>
              <w:pStyle w:val="Normal"/>
              <w:numPr>
                <w:ilvl w:val="0"/>
                <w:numId w:val="6"/>
              </w:numPr>
              <w:tabs>
                <w:tab w:val="clear" w:pos="720"/>
                <w:tab w:val="left" w:pos="522" w:leader="none"/>
              </w:tabs>
              <w:ind w:hanging="360" w:start="522" w:end="0"/>
              <w:rPr>
                <w:b/>
                <w:sz w:val="22"/>
              </w:rPr>
            </w:pPr>
            <w:r>
              <w:rPr>
                <w:b/>
                <w:sz w:val="22"/>
              </w:rPr>
              <w:t>Frost Securities (or Alex Brown)</w:t>
            </w:r>
          </w:p>
          <w:p>
            <w:pPr>
              <w:pStyle w:val="Heading2"/>
              <w:ind w:hanging="0" w:start="0"/>
              <w:rPr/>
            </w:pPr>
            <w:r>
              <w:rPr/>
              <w:t>Enron Investments plc</w:t>
            </w:r>
          </w:p>
          <w:p>
            <w:pPr>
              <w:pStyle w:val="Heading4"/>
              <w:numPr>
                <w:ilvl w:val="0"/>
                <w:numId w:val="2"/>
              </w:numPr>
              <w:tabs>
                <w:tab w:val="clear" w:pos="720"/>
                <w:tab w:val="left" w:pos="522" w:leader="none"/>
              </w:tabs>
              <w:ind w:hanging="360" w:start="522" w:end="0"/>
              <w:rPr/>
            </w:pPr>
            <w:r>
              <w:rPr/>
              <w:t>Morgan Stanley</w:t>
            </w:r>
          </w:p>
          <w:p>
            <w:pPr>
              <w:pStyle w:val="Normal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Enron de Inversiones de Energia S.C.A.</w:t>
            </w:r>
          </w:p>
          <w:p>
            <w:pPr>
              <w:pStyle w:val="Heading4"/>
              <w:numPr>
                <w:ilvl w:val="0"/>
                <w:numId w:val="2"/>
              </w:numPr>
              <w:tabs>
                <w:tab w:val="clear" w:pos="720"/>
                <w:tab w:val="left" w:pos="522" w:leader="none"/>
              </w:tabs>
              <w:ind w:hanging="360" w:start="522" w:end="0"/>
              <w:rPr/>
            </w:pPr>
            <w:r>
              <w:rPr/>
              <w:t>Morgan Stanley</w:t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Working with Paul Radous to review clearing and non-clearing broker credit risks with respect to international futures and equities exchanges.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Jason assisting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Credit Derivatives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Debt desk – multiple transactions with Deutsche Bank, Goldman, DLJ 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Equity Derivatives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Work with Enron Corp. to put equity Masters in place with Merrill, Lehman Brothers, Morgan Guaranty Trust, Morgan Stanley Capital Services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Distressed Loans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Reviewing LSTA Standard Terms and Conditions (for distressed debt) DB – Tokheim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Foreign ISDA opinions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New Guinea; may have to update India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Unknown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Weather Trades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Review weather templates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 - Carol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Paper &amp; Pulp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Confirm revisions, review new ISDA language, omnibus true-up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Power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20"/>
                <w:tab w:val="left" w:pos="522" w:leader="none"/>
              </w:tabs>
              <w:ind w:hanging="0"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  <w:t>PPL Corporation – discuss confirmation format</w:t>
            </w:r>
          </w:p>
          <w:p>
            <w:pPr>
              <w:pStyle w:val="Heading1"/>
              <w:rPr/>
            </w:pPr>
            <w:r>
              <w:rPr/>
              <w:tab/>
              <w:t>Citizens Power Sales – discuss confirmation format</w:t>
            </w:r>
          </w:p>
          <w:p>
            <w:pPr>
              <w:pStyle w:val="Heading1"/>
              <w:rPr/>
            </w:pPr>
            <w:r>
              <w:rPr/>
              <w:tab/>
              <w:t>Niagra Mohawk – discuss confirmation format</w:t>
            </w:r>
          </w:p>
          <w:p>
            <w:pPr>
              <w:pStyle w:val="Heading1"/>
              <w:rPr/>
            </w:pPr>
            <w:r>
              <w:rPr/>
              <w:tab/>
              <w:t>American Electric Power – discuss confirmation format</w:t>
            </w:r>
          </w:p>
          <w:p>
            <w:pPr>
              <w:pStyle w:val="Heading1"/>
              <w:rPr/>
            </w:pPr>
            <w:r>
              <w:rPr/>
              <w:tab/>
              <w:t>Keyspan Energy – discuss confirmation format</w:t>
            </w:r>
          </w:p>
          <w:p>
            <w:pPr>
              <w:pStyle w:val="Normal"/>
              <w:tabs>
                <w:tab w:val="clear" w:pos="720"/>
                <w:tab w:val="left" w:pos="522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(b)</w:t>
              <w:tab/>
              <w:t>Utility “agency” issues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Brazil, Argentina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Monitor weekly ESA legal call; weekly call with Brent and tax.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Australia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Work with Shane Dallmann (Hickerson group).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Ongoing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Mexico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Meet Augustin Perez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Margin Agreements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Bank One – negotiating agreement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Jason assisting</w:t>
            </w:r>
          </w:p>
        </w:tc>
      </w:tr>
      <w:tr>
        <w:trPr/>
        <w:tc>
          <w:tcPr>
            <w:tcW w:w="37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5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PATS 2000 – 1</w:t>
            </w:r>
          </w:p>
        </w:tc>
        <w:tc>
          <w:tcPr>
            <w:tcW w:w="62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ECM Transaction re:  ENE 28 year bond issuance with 3 year put feature; currency swaps with UBS/Trust and ENE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720" w:right="720" w:gutter="0" w:header="720" w:top="7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2</w:t>
    </w:r>
    <w:r>
      <w:rPr>
        <w:rStyle w:val="PageNumber"/>
        <w:sz w:val="20"/>
      </w:rPr>
      <w:fldChar w:fldCharType="end"/>
    </w:r>
  </w:p>
  <w:p>
    <w:pPr>
      <w:pStyle w:val="Footer"/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/mnt/main-storage/datasets/enron-docs/doc/Project_List-0a4b22d69ae21524b64205fe535ed61ced01555aff381c3211e3334685e352a8.doc</w:t>
    </w:r>
    <w:r>
      <w:rPr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u w:val="single"/>
      </w:rPr>
    </w:pPr>
    <w:r>
      <w:rPr>
        <w:b/>
        <w:bCs/>
        <w:u w:val="single"/>
      </w:rPr>
      <w:t>Sara Shackleton Project List</w:t>
    </w:r>
  </w:p>
  <w:p>
    <w:pPr>
      <w:pStyle w:val="Header"/>
      <w:jc w:val="center"/>
      <w:rPr>
        <w:b/>
        <w:bCs/>
      </w:rPr>
    </w:pPr>
    <w:r>
      <w:rPr>
        <w:b/>
        <w:bCs/>
      </w:rPr>
      <w:t>June 7, 2000</w:t>
    </w:r>
  </w:p>
  <w:p>
    <w:pPr>
      <w:pStyle w:val="Header"/>
      <w:jc w:val="center"/>
      <w:rPr>
        <w:b/>
        <w:bCs/>
      </w:rPr>
    </w:pPr>
    <w:r>
      <w:rPr>
        <w:b/>
        <w:bCs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lowerLetter"/>
      <w:lvlText w:val="(%1)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lowerLetter"/>
      <w:lvlText w:val="(%1)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522" w:leader="none"/>
      </w:tabs>
      <w:ind w:hanging="0" w:start="72" w:end="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2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8z0">
    <w:name w:val="WW8Num8z0"/>
    <w:qFormat/>
    <w:rPr>
      <w:rFonts w:ascii="Times New Roman" w:hAnsi="Times New Roman" w:cs="Times New Roman"/>
      <w:b/>
      <w:i w:val="false"/>
      <w:sz w:val="22"/>
      <w:u w:val="none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Times New Roman" w:hAnsi="Times New Roman" w:cs="Times New Roman"/>
      <w:b/>
      <w:i w:val="false"/>
      <w:sz w:val="22"/>
      <w:u w:val="no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Normal"/>
    <w:qFormat/>
    <w:pPr>
      <w:pageBreakBefore/>
      <w:spacing w:before="0" w:after="240"/>
      <w:jc w:val="center"/>
    </w:pPr>
    <w:rPr>
      <w:b/>
      <w:sz w:val="28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clear" w:pos="720"/>
        <w:tab w:val="left" w:pos="342" w:leader="none"/>
      </w:tabs>
      <w:ind w:hanging="342" w:start="342" w:end="0"/>
    </w:pPr>
    <w:rPr>
      <w:b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2000-05-10T17:35:00Z</dcterms:created>
  <dc:creator>ECT</dc:creator>
  <dc:description/>
  <dc:language>en-CA</dc:language>
  <cp:lastModifiedBy>kellis</cp:lastModifiedBy>
  <cp:lastPrinted>2000-06-06T16:31:00Z</cp:lastPrinted>
  <dcterms:modified xsi:type="dcterms:W3CDTF">2000-06-06T19:03:00Z</dcterms:modified>
  <cp:revision>14</cp:revision>
  <dc:subject/>
  <dc:title>OUTSTANDING PROJECTS:</dc:title>
</cp:coreProperties>
</file>