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spacing w:before="120" w:after="0"/>
        <w:rPr>
          <w:sz w:val="32"/>
        </w:rPr>
      </w:pPr>
      <w:r>
        <w:rPr>
          <w:sz w:val="32"/>
        </w:rPr>
        <w:t>4-1. Investment Merits of Project LV</w:t>
      </w:r>
    </w:p>
    <w:p>
      <w:pPr>
        <w:pStyle w:val="Sub0"/>
        <w:spacing w:before="120" w:after="0"/>
        <w:rPr>
          <w:sz w:val="32"/>
        </w:rPr>
      </w:pPr>
      <w:r>
        <w:rPr>
          <w:sz w:val="32"/>
        </w:rPr>
      </w:r>
    </w:p>
    <w:p>
      <w:pPr>
        <w:pStyle w:val="Sub0"/>
        <w:spacing w:before="120" w:after="0"/>
        <w:rPr/>
      </w:pPr>
      <w:r>
        <w:rPr/>
        <w:t>Strategic Location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Project LV is located in North Las Vegas, Nevada, 5 miles from Las Vegas, the fastest growing city in the United States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Nevada power market will open for many classes of customers on November 1, 2000, creating a range of opportunities to sell excess power and ancillary services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Given the projects’ strategic proximity to Mead, Nevada and the SP-15 California market, it will have the optionality to sell merchant power into multiple markets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Existing Merchant Capacity Anchored by Existing PPA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LV Cogen enjoys the financial stability associated with an anchor PPA and the upside of selling excess megawatts into nearby power markets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PPA Restructuring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Enron North America has had several conversations with Nevada Power, who has expressed an interest in granting LV Cogen delivery point flexibility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Renegotiation would give LV Cogen the optionality to fulfill its obligation under the PPA either through market purchases or self-generation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Expansion in Advanced Stage of Development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Enron North America is in the advanced stages of development of LV Cogen II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LV Cogen II’s Air Permit was deemed complete by the Air Pollution Control District on June 9, 2000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Enron North America expects approval of the Air Permit by November 2000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Turnkey construction bids have been submitted and a limited notice to proceed will be issued on September 1, 2000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Firm Commitment for Turbine Schedule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contract for the LM 6000s turbine has been signed with GE and they will be delivered to allow for a March 2002 commercial operations date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As availability of turbines is expected to be severely limited during the next few years, any project under development without firm rights to equipment is at risk of substantial delays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0"/>
        <w:spacing w:before="120" w:after="0"/>
        <w:rPr/>
      </w:pPr>
      <w:r>
        <w:rPr/>
        <w:t>Significant Barriers to Entry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ENA believes that there are significant barriers that confront any potential power plant development in the region, including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access to water rights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air quality standards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access to industrially zoned property and existing transmission interconnections and substations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availability of turbines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environmental concerns</w:t>
      </w:r>
    </w:p>
    <w:p>
      <w:pPr>
        <w:pStyle w:val="A0b"/>
        <w:numPr>
          <w:ilvl w:val="0"/>
          <w:numId w:val="0"/>
        </w:numPr>
        <w:spacing w:before="100" w:after="100"/>
        <w:ind w:hanging="0" w:start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b">
    <w:name w:val="A:0:b"/>
    <w:basedOn w:val="Normal"/>
    <w:qFormat/>
    <w:pPr>
      <w:numPr>
        <w:ilvl w:val="0"/>
        <w:numId w:val="3"/>
      </w:numPr>
      <w:spacing w:before="100" w:after="100"/>
    </w:pPr>
    <w:rPr>
      <w:rFonts w:ascii="Arial" w:hAnsi="Arial" w:cs="Arial"/>
    </w:rPr>
  </w:style>
  <w:style w:type="paragraph" w:styleId="A0bbox">
    <w:name w:val="A:0:bbox"/>
    <w:basedOn w:val="Normal"/>
    <w:qFormat/>
    <w:pPr>
      <w:numPr>
        <w:ilvl w:val="0"/>
        <w:numId w:val="2"/>
      </w:numPr>
      <w:spacing w:before="100" w:after="100"/>
    </w:pPr>
    <w:rPr>
      <w:rFonts w:ascii="Arial" w:hAnsi="Arial" w:cs="Arial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Sub0">
    <w:name w:val="Sub:0"/>
    <w:basedOn w:val="Normal"/>
    <w:qFormat/>
    <w:pPr>
      <w:keepNext w:val="true"/>
      <w:spacing w:before="240" w:after="120"/>
      <w:ind w:hanging="0" w:start="1440" w:end="0"/>
    </w:pPr>
    <w:rPr>
      <w:rFonts w:ascii="Arial" w:hAnsi="Arial" w:cs="Arial"/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2000-08-25T17:24:00Z</dcterms:created>
  <dc:creator>Ben Rogers</dc:creator>
  <dc:description/>
  <dc:language>en-CA</dc:language>
  <cp:lastModifiedBy>Jinsung Myung</cp:lastModifiedBy>
  <cp:lastPrinted>2000-08-25T15:17:00Z</cp:lastPrinted>
  <dcterms:modified xsi:type="dcterms:W3CDTF">2000-08-26T12:32:00Z</dcterms:modified>
  <cp:revision>16</cp:revision>
  <dc:subject/>
  <dc:title>3</dc:title>
</cp:coreProperties>
</file>