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ind w:hanging="0" w:star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Project Kachina Transaction Steps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The transaction steps are depicted on the accompanying diagram.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ECS Compression Company LLC (ECC) is formed with Enron Compression Services Company (ECS) as Managing Member and 100% sole interest holder.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ECT conveys and assigns to ECS the (i) 2 electric motor drivers, (ii) 2 utility contracts (iii) 2 HP contracts with Transwestern Pipeline Company (TW), and (iv) 2 Operating and Maintenance Agreements with TW.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ECS contributes to ECC the (i) 2 electric motor drivers, (ii) 2 utility contracts (iii) 2 HP contracts with Transwestern Pipeline Company (TW), and (iv) 2 Operating and Maintenance Agreements with TW in exchange for a 19% Managing Member interest and $____________.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FinCo purchases an 81% membership interests from the ECC in exchange for $13 million.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ECC enters into a gas swap with ECS for the sale of fuel gas which ECC received under the HP contracts to ECS for a fixed price and a prepayment of $10 million.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 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ECC distributes a return of $8 million to FinCo and holds the $2 million for two year to repay a $2 million dollar note to ECS [Lance?].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1999-06-17T17:26:00Z</dcterms:created>
  <dc:creator>Trevor Woods</dc:creator>
  <dc:description/>
  <dc:language>en-CA</dc:language>
  <cp:lastModifiedBy>gnemec</cp:lastModifiedBy>
  <dcterms:modified xsi:type="dcterms:W3CDTF">1999-06-17T19:46:00Z</dcterms:modified>
  <cp:revision>5</cp:revision>
  <dc:subject/>
  <dc:title>Project Kachina Transaction Steps</dc:title>
</cp:coreProperties>
</file>