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jc w:val="center"/>
        <w:rPr>
          <w:b/>
          <w:bCs/>
        </w:rPr>
      </w:pPr>
      <w:r>
        <w:rPr>
          <w:b/>
          <w:bCs/>
        </w:rPr>
        <w:t>Project Jordan Transactions</w:t>
      </w:r>
    </w:p>
    <w:p>
      <w:pPr>
        <w:pStyle w:val="Heading1"/>
        <w:ind w:hanging="0" w:start="0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Power Purchase Agreement with Virgina Power (VEPCO)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Interconnection Agreement (VEPCO)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Land option/due diligence/purchase (Electicities)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Sale of land to the City of Rocky Mount (CRM)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Possible Annexation Agreement (CRM)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Payment in Lieu of Taxes Agreement (CRM)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Gas Supply Agreeement (CRM)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Land lease (CRM)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Fuel supply (oil)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EPC Contract (NEPCO or other)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Assignment of turbine contract (GE?)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Purchase of other long lead items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Permitting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Possible facility study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Operations and Maintenance Agreement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2000-07-27T16:07:00Z</dcterms:created>
  <dc:creator>kmann</dc:creator>
  <dc:description/>
  <dc:language>en-CA</dc:language>
  <cp:lastModifiedBy>kmann</cp:lastModifiedBy>
  <cp:lastPrinted>2000-07-27T13:36:00Z</cp:lastPrinted>
  <dcterms:modified xsi:type="dcterms:W3CDTF">2000-07-27T16:07:00Z</dcterms:modified>
  <cp:revision>2</cp:revision>
  <dc:subject/>
  <dc:title>Project Jordan Transactions</dc:title>
</cp:coreProperties>
</file>