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2448"/>
        <w:gridCol w:w="4500"/>
        <w:gridCol w:w="2520"/>
      </w:tblGrid>
      <w:tr>
        <w:trPr/>
        <w:tc>
          <w:tcPr>
            <w:tcW w:w="2448" w:type="dxa"/>
            <w:tcBorders/>
          </w:tcPr>
          <w:p>
            <w:pPr>
              <w:pStyle w:val="Heading"/>
              <w:rPr>
                <w:sz w:val="20"/>
              </w:rPr>
            </w:pPr>
            <w:r>
              <w:rPr>
                <w:sz w:val="20"/>
              </w:rPr>
              <w:drawing>
                <wp:inline distT="0" distB="0" distL="0" distR="0">
                  <wp:extent cx="1095375"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124585"/>
                          </a:xfrm>
                          <a:prstGeom prst="rect">
                            <a:avLst/>
                          </a:prstGeom>
                          <a:noFill/>
                        </pic:spPr>
                      </pic:pic>
                    </a:graphicData>
                  </a:graphic>
                </wp:inline>
              </w:drawing>
            </w:r>
          </w:p>
          <w:p>
            <w:pPr>
              <w:pStyle w:val="Normal"/>
              <w:spacing w:before="20" w:after="0"/>
              <w:rPr/>
            </w:pPr>
            <w:r>
              <w:rPr/>
            </w:r>
          </w:p>
        </w:tc>
        <w:tc>
          <w:tcPr>
            <w:tcW w:w="4500" w:type="dxa"/>
            <w:tcBorders/>
          </w:tcPr>
          <w:p>
            <w:pPr>
              <w:pStyle w:val="Normal"/>
              <w:snapToGrid w:val="false"/>
              <w:jc w:val="both"/>
              <w:rPr>
                <w:b/>
                <w:sz w:val="36"/>
              </w:rPr>
            </w:pPr>
            <w:r>
              <w:rPr>
                <w:b/>
                <w:sz w:val="36"/>
              </w:rPr>
            </w:r>
          </w:p>
        </w:tc>
        <w:tc>
          <w:tcPr>
            <w:tcW w:w="2520" w:type="dxa"/>
            <w:tcBorders/>
          </w:tcPr>
          <w:p>
            <w:pPr>
              <w:pStyle w:val="Normal"/>
              <w:snapToGrid w:val="false"/>
              <w:jc w:val="both"/>
              <w:rPr>
                <w:b/>
                <w:sz w:val="36"/>
              </w:rPr>
            </w:pPr>
            <w:r>
              <w:rPr>
                <w:b/>
                <w:sz w:val="36"/>
              </w:rPr>
            </w:r>
          </w:p>
        </w:tc>
      </w:tr>
      <w:tr>
        <w:trPr/>
        <w:tc>
          <w:tcPr>
            <w:tcW w:w="2448" w:type="dxa"/>
            <w:tcBorders/>
          </w:tcPr>
          <w:p>
            <w:pPr>
              <w:pStyle w:val="Normal"/>
              <w:snapToGrid w:val="false"/>
              <w:jc w:val="both"/>
              <w:rPr>
                <w:b/>
                <w:sz w:val="36"/>
              </w:rPr>
            </w:pPr>
            <w:r>
              <w:rPr>
                <w:b/>
                <w:sz w:val="36"/>
              </w:rPr>
            </w:r>
          </w:p>
        </w:tc>
        <w:tc>
          <w:tcPr>
            <w:tcW w:w="4500" w:type="dxa"/>
            <w:tcBorders/>
          </w:tcPr>
          <w:p>
            <w:pPr>
              <w:pStyle w:val="Normal"/>
              <w:snapToGrid w:val="false"/>
              <w:jc w:val="both"/>
              <w:rPr>
                <w:b/>
              </w:rPr>
            </w:pPr>
            <w:r>
              <w:rPr>
                <w:b/>
              </w:rPr>
            </w:r>
          </w:p>
        </w:tc>
        <w:tc>
          <w:tcPr>
            <w:tcW w:w="2520" w:type="dxa"/>
            <w:tcBorders/>
          </w:tcPr>
          <w:p>
            <w:pPr>
              <w:pStyle w:val="Normal"/>
              <w:snapToGrid w:val="false"/>
              <w:jc w:val="both"/>
              <w:rPr>
                <w:b/>
              </w:rPr>
            </w:pPr>
            <w:r>
              <w:rPr>
                <w:b/>
              </w:rPr>
            </w:r>
          </w:p>
        </w:tc>
      </w:tr>
    </w:tbl>
    <w:p>
      <w:pPr>
        <w:pStyle w:val="Normal"/>
        <w:pBdr>
          <w:top w:val="double" w:sz="12" w:space="1" w:color="000000"/>
        </w:pBdr>
        <w:jc w:val="center"/>
        <w:rPr>
          <w:b/>
          <w:sz w:val="28"/>
        </w:rPr>
      </w:pPr>
      <w:r>
        <w:rPr>
          <w:b/>
          <w:sz w:val="28"/>
        </w:rPr>
        <w:t>PRIVILEGED AND CONFIDENTIAL</w:t>
      </w:r>
    </w:p>
    <w:p>
      <w:pPr>
        <w:pStyle w:val="Normal"/>
        <w:pBdr>
          <w:top w:val="double" w:sz="12" w:space="1" w:color="000000"/>
        </w:pBdr>
        <w:jc w:val="center"/>
        <w:rPr>
          <w:b/>
          <w:sz w:val="28"/>
        </w:rPr>
      </w:pPr>
      <w:r>
        <w:rPr>
          <w:b/>
          <w:sz w:val="28"/>
        </w:rPr>
        <w:t>ATTORNEY WORK PRODUCT</w:t>
      </w:r>
    </w:p>
    <w:p>
      <w:pPr>
        <w:pStyle w:val="Normal"/>
        <w:pBdr>
          <w:top w:val="double" w:sz="12" w:space="1" w:color="000000"/>
        </w:pBdr>
        <w:jc w:val="center"/>
        <w:rPr>
          <w:b/>
          <w:sz w:val="20"/>
        </w:rPr>
      </w:pPr>
      <w:r>
        <w:rPr>
          <w:b/>
          <w:sz w:val="20"/>
        </w:rPr>
      </w:r>
    </w:p>
    <w:tbl>
      <w:tblPr>
        <w:tblW w:w="8748" w:type="dxa"/>
        <w:jc w:val="start"/>
        <w:tblInd w:w="0" w:type="dxa"/>
        <w:tblLayout w:type="fixed"/>
        <w:tblCellMar>
          <w:top w:w="0" w:type="dxa"/>
          <w:start w:w="108" w:type="dxa"/>
          <w:bottom w:w="0" w:type="dxa"/>
          <w:end w:w="108" w:type="dxa"/>
        </w:tblCellMar>
      </w:tblPr>
      <w:tblGrid>
        <w:gridCol w:w="1908"/>
        <w:gridCol w:w="2430"/>
        <w:gridCol w:w="2070"/>
        <w:gridCol w:w="1890"/>
        <w:gridCol w:w="450"/>
      </w:tblGrid>
      <w:tr>
        <w:trPr/>
        <w:tc>
          <w:tcPr>
            <w:tcW w:w="1908" w:type="dxa"/>
            <w:tcBorders/>
          </w:tcPr>
          <w:p>
            <w:pPr>
              <w:pStyle w:val="Normal"/>
              <w:spacing w:before="0" w:after="120"/>
              <w:jc w:val="both"/>
              <w:rPr>
                <w:sz w:val="18"/>
              </w:rPr>
            </w:pPr>
            <w:r>
              <w:rPr>
                <w:b/>
                <w:sz w:val="18"/>
              </w:rPr>
              <w:t>TO:</w:t>
            </w:r>
          </w:p>
        </w:tc>
        <w:tc>
          <w:tcPr>
            <w:tcW w:w="2430" w:type="dxa"/>
            <w:tcBorders/>
          </w:tcPr>
          <w:p>
            <w:pPr>
              <w:pStyle w:val="Normal"/>
              <w:jc w:val="both"/>
              <w:rPr>
                <w:sz w:val="18"/>
              </w:rPr>
            </w:pPr>
            <w:r>
              <w:rPr>
                <w:sz w:val="18"/>
              </w:rPr>
              <w:t>Mark Haedicke</w:t>
            </w:r>
          </w:p>
          <w:p>
            <w:pPr>
              <w:pStyle w:val="Normal"/>
              <w:jc w:val="both"/>
              <w:rPr>
                <w:sz w:val="18"/>
              </w:rPr>
            </w:pPr>
            <w:r>
              <w:rPr>
                <w:sz w:val="18"/>
              </w:rPr>
              <w:t>Sheila Tweed</w:t>
            </w:r>
          </w:p>
          <w:p>
            <w:pPr>
              <w:pStyle w:val="Normal"/>
              <w:jc w:val="both"/>
              <w:rPr>
                <w:sz w:val="18"/>
              </w:rPr>
            </w:pPr>
            <w:r>
              <w:rPr>
                <w:sz w:val="18"/>
              </w:rPr>
              <w:t xml:space="preserve">Cc:  </w:t>
            </w:r>
          </w:p>
          <w:p>
            <w:pPr>
              <w:pStyle w:val="Normal"/>
              <w:jc w:val="both"/>
              <w:rPr>
                <w:sz w:val="18"/>
              </w:rPr>
            </w:pPr>
            <w:r>
              <w:rPr>
                <w:sz w:val="18"/>
              </w:rPr>
              <w:t>Chris Calger, Jake Thomas</w:t>
            </w:r>
          </w:p>
        </w:tc>
        <w:tc>
          <w:tcPr>
            <w:tcW w:w="2070" w:type="dxa"/>
            <w:tcBorders/>
          </w:tcPr>
          <w:p>
            <w:pPr>
              <w:pStyle w:val="Normal"/>
              <w:spacing w:before="0" w:after="120"/>
              <w:jc w:val="both"/>
              <w:rPr>
                <w:sz w:val="18"/>
              </w:rPr>
            </w:pPr>
            <w:r>
              <w:rPr>
                <w:b/>
                <w:sz w:val="18"/>
              </w:rPr>
              <w:t>DATE:</w:t>
            </w:r>
          </w:p>
        </w:tc>
        <w:tc>
          <w:tcPr>
            <w:tcW w:w="2340" w:type="dxa"/>
            <w:gridSpan w:val="2"/>
            <w:tcBorders/>
          </w:tcPr>
          <w:p>
            <w:pPr>
              <w:pStyle w:val="Normal"/>
              <w:spacing w:before="0" w:after="120"/>
              <w:jc w:val="both"/>
              <w:rPr>
                <w:sz w:val="18"/>
              </w:rPr>
            </w:pPr>
            <w:r>
              <w:rPr>
                <w:sz w:val="18"/>
              </w:rPr>
              <w:t>February 16, 2001</w:t>
            </w:r>
          </w:p>
        </w:tc>
      </w:tr>
      <w:tr>
        <w:trPr/>
        <w:tc>
          <w:tcPr>
            <w:tcW w:w="1908" w:type="dxa"/>
            <w:tcBorders/>
          </w:tcPr>
          <w:p>
            <w:pPr>
              <w:pStyle w:val="Normal"/>
              <w:spacing w:before="120" w:after="240"/>
              <w:jc w:val="both"/>
              <w:rPr>
                <w:sz w:val="18"/>
              </w:rPr>
            </w:pPr>
            <w:r>
              <w:rPr>
                <w:b/>
                <w:sz w:val="18"/>
              </w:rPr>
              <w:t>FROM:</w:t>
            </w:r>
          </w:p>
        </w:tc>
        <w:tc>
          <w:tcPr>
            <w:tcW w:w="2430" w:type="dxa"/>
            <w:tcBorders/>
          </w:tcPr>
          <w:p>
            <w:pPr>
              <w:pStyle w:val="Normal"/>
              <w:spacing w:before="120" w:after="240"/>
              <w:jc w:val="both"/>
              <w:rPr>
                <w:sz w:val="18"/>
              </w:rPr>
            </w:pPr>
            <w:r>
              <w:rPr>
                <w:sz w:val="18"/>
              </w:rPr>
              <w:t>Dale Rasmussen</w:t>
            </w:r>
          </w:p>
        </w:tc>
        <w:tc>
          <w:tcPr>
            <w:tcW w:w="2070" w:type="dxa"/>
            <w:tcBorders/>
          </w:tcPr>
          <w:p>
            <w:pPr>
              <w:pStyle w:val="Normal"/>
              <w:spacing w:before="120" w:after="240"/>
              <w:jc w:val="both"/>
              <w:rPr>
                <w:b/>
                <w:sz w:val="18"/>
              </w:rPr>
            </w:pPr>
            <w:r>
              <w:rPr>
                <w:b/>
                <w:sz w:val="18"/>
              </w:rPr>
              <w:t>DEPARTMENT:</w:t>
            </w:r>
          </w:p>
        </w:tc>
        <w:tc>
          <w:tcPr>
            <w:tcW w:w="2340" w:type="dxa"/>
            <w:gridSpan w:val="2"/>
            <w:tcBorders/>
          </w:tcPr>
          <w:p>
            <w:pPr>
              <w:pStyle w:val="Normal"/>
              <w:spacing w:before="120" w:after="240"/>
              <w:jc w:val="both"/>
              <w:rPr>
                <w:sz w:val="18"/>
              </w:rPr>
            </w:pPr>
            <w:r>
              <w:rPr>
                <w:sz w:val="18"/>
              </w:rPr>
              <w:t>Legal Department</w:t>
            </w:r>
          </w:p>
        </w:tc>
      </w:tr>
      <w:tr>
        <w:trPr/>
        <w:tc>
          <w:tcPr>
            <w:tcW w:w="1908" w:type="dxa"/>
            <w:tcBorders/>
          </w:tcPr>
          <w:p>
            <w:pPr>
              <w:pStyle w:val="Normal"/>
              <w:spacing w:before="0" w:after="120"/>
              <w:jc w:val="both"/>
              <w:rPr>
                <w:sz w:val="18"/>
              </w:rPr>
            </w:pPr>
            <w:r>
              <w:rPr>
                <w:b/>
                <w:sz w:val="18"/>
              </w:rPr>
              <w:t>SUBJECT:</w:t>
            </w:r>
          </w:p>
        </w:tc>
        <w:tc>
          <w:tcPr>
            <w:tcW w:w="6390" w:type="dxa"/>
            <w:gridSpan w:val="3"/>
            <w:tcBorders/>
          </w:tcPr>
          <w:p>
            <w:pPr>
              <w:pStyle w:val="Normal"/>
              <w:rPr>
                <w:sz w:val="18"/>
              </w:rPr>
            </w:pPr>
            <w:r>
              <w:rPr>
                <w:sz w:val="18"/>
              </w:rPr>
              <w:t>Legal Risk Analysis – Turbine Acquisition</w:t>
            </w:r>
          </w:p>
        </w:tc>
        <w:tc>
          <w:tcPr>
            <w:tcW w:w="450" w:type="dxa"/>
            <w:tcBorders/>
            <w:tcMar>
              <w:start w:w="0" w:type="dxa"/>
              <w:end w:w="0" w:type="dxa"/>
            </w:tcMar>
          </w:tcPr>
          <w:p>
            <w:pPr>
              <w:pStyle w:val="Normal"/>
              <w:snapToGrid w:val="false"/>
              <w:rPr>
                <w:sz w:val="18"/>
              </w:rPr>
            </w:pPr>
            <w:r>
              <w:rPr>
                <w:sz w:val="18"/>
              </w:rPr>
            </w:r>
          </w:p>
        </w:tc>
      </w:tr>
    </w:tbl>
    <w:p>
      <w:pPr>
        <w:pStyle w:val="Normal"/>
        <w:pBdr>
          <w:bottom w:val="double" w:sz="12" w:space="1" w:color="000000"/>
        </w:pBdr>
        <w:rPr>
          <w:sz w:val="18"/>
        </w:rPr>
      </w:pPr>
      <w:r>
        <w:rPr>
          <w:sz w:val="18"/>
        </w:rPr>
      </w:r>
    </w:p>
    <w:p>
      <w:pPr>
        <w:pStyle w:val="Normal"/>
        <w:rPr>
          <w:sz w:val="18"/>
        </w:rPr>
      </w:pPr>
      <w:r>
        <w:rPr>
          <w:sz w:val="18"/>
        </w:rPr>
      </w:r>
    </w:p>
    <w:p>
      <w:pPr>
        <w:pStyle w:val="Normal"/>
        <w:ind w:hanging="2700" w:start="2700" w:end="-720"/>
        <w:jc w:val="both"/>
        <w:rPr>
          <w:sz w:val="18"/>
        </w:rPr>
      </w:pPr>
      <w:r>
        <w:rPr>
          <w:sz w:val="18"/>
        </w:rPr>
        <w:t>Nature of Transaction:</w:t>
        <w:tab/>
        <w:t xml:space="preserve">Purchase of GE 7FA turbine for deployment at Project Columbia (Longview, Washington) generating facility. </w:t>
      </w:r>
    </w:p>
    <w:p>
      <w:pPr>
        <w:pStyle w:val="Normal"/>
        <w:ind w:hanging="2700" w:start="2700" w:end="-720"/>
        <w:jc w:val="both"/>
        <w:rPr>
          <w:sz w:val="18"/>
        </w:rPr>
      </w:pPr>
      <w:r>
        <w:rPr>
          <w:sz w:val="18"/>
        </w:rPr>
      </w:r>
    </w:p>
    <w:p>
      <w:pPr>
        <w:pStyle w:val="Normal"/>
        <w:ind w:hanging="2700" w:start="2700" w:end="-720"/>
        <w:jc w:val="both"/>
        <w:rPr>
          <w:sz w:val="18"/>
        </w:rPr>
      </w:pPr>
      <w:r>
        <w:rPr>
          <w:sz w:val="18"/>
        </w:rPr>
        <w:t>Amount at Risk:</w:t>
        <w:tab/>
        <w:t>Overall purchase price of $39,200,000, with approx. $4 million at risk at signing.</w:t>
      </w:r>
    </w:p>
    <w:p>
      <w:pPr>
        <w:pStyle w:val="Normal"/>
        <w:keepNext w:val="true"/>
        <w:ind w:hanging="2700" w:start="2700" w:end="-720"/>
        <w:jc w:val="both"/>
        <w:rPr>
          <w:sz w:val="18"/>
        </w:rPr>
      </w:pPr>
      <w:r>
        <w:rPr>
          <w:sz w:val="18"/>
        </w:rPr>
      </w:r>
    </w:p>
    <w:p>
      <w:pPr>
        <w:pStyle w:val="Normal"/>
        <w:ind w:hanging="2700" w:start="2707" w:end="-720"/>
        <w:jc w:val="both"/>
        <w:rPr>
          <w:sz w:val="18"/>
        </w:rPr>
      </w:pPr>
      <w:r>
        <w:rPr>
          <w:sz w:val="18"/>
        </w:rPr>
        <w:t>Legal Risks:</w:t>
        <w:tab/>
      </w:r>
      <w:r>
        <w:rPr>
          <w:b/>
          <w:color w:val="000000"/>
          <w:sz w:val="18"/>
        </w:rPr>
        <w:t>Legal Risk Rating = 1</w:t>
      </w:r>
      <w:r>
        <w:rPr>
          <w:color w:val="000000"/>
          <w:sz w:val="18"/>
        </w:rPr>
        <w:t xml:space="preserve"> (1=low risk; 5=high risk).  </w:t>
      </w:r>
    </w:p>
    <w:p>
      <w:pPr>
        <w:pStyle w:val="Normal"/>
        <w:ind w:hanging="2700" w:start="2707" w:end="-720"/>
        <w:jc w:val="both"/>
        <w:rPr>
          <w:sz w:val="18"/>
        </w:rPr>
      </w:pPr>
      <w:r>
        <w:rPr>
          <w:sz w:val="18"/>
        </w:rPr>
      </w:r>
    </w:p>
    <w:p>
      <w:pPr>
        <w:pStyle w:val="Normal"/>
        <w:ind w:hanging="2880" w:start="2880" w:end="-720"/>
        <w:jc w:val="both"/>
        <w:rPr/>
      </w:pPr>
      <w:r>
        <w:rPr>
          <w:sz w:val="18"/>
          <w:u w:val="single"/>
        </w:rPr>
        <w:t>Risk</w:t>
      </w:r>
      <w:r>
        <w:rPr>
          <w:sz w:val="18"/>
        </w:rPr>
        <w:tab/>
      </w:r>
      <w:r>
        <w:rPr>
          <w:sz w:val="18"/>
          <w:u w:val="single"/>
        </w:rPr>
        <w:t>Mitigation/Comments</w:t>
      </w:r>
      <w:r>
        <w:rPr>
          <w:sz w:val="18"/>
        </w:rPr>
        <w:tab/>
        <w:t xml:space="preserve"> </w:t>
      </w:r>
    </w:p>
    <w:p>
      <w:pPr>
        <w:pStyle w:val="Normal"/>
        <w:ind w:hanging="2700" w:start="2707" w:end="-720"/>
        <w:jc w:val="both"/>
        <w:rPr>
          <w:sz w:val="18"/>
        </w:rPr>
      </w:pPr>
      <w:r>
        <w:rPr>
          <w:sz w:val="18"/>
        </w:rPr>
      </w:r>
    </w:p>
    <w:p>
      <w:pPr>
        <w:pStyle w:val="Normal"/>
        <w:ind w:hanging="2880" w:start="2880" w:end="-720"/>
        <w:jc w:val="both"/>
        <w:rPr>
          <w:sz w:val="18"/>
        </w:rPr>
      </w:pPr>
      <w:r>
        <w:rPr>
          <w:sz w:val="18"/>
        </w:rPr>
        <w:t>1.  Failure to Close</w:t>
        <w:tab/>
        <w:t>$4 million is non-refundable if the parties fail to reach agreement on final Contract of Sale.  Risk is mitigated by course of dealing between ENA and GE, by using master form purchase agreement negotiated between ENA and GE during past 6 months (and references to Pastoria and Blue Dog agreements) as base document, and by imposing a reasonable/good faith negotiation obligation on parties.</w:t>
        <w:tab/>
      </w:r>
    </w:p>
    <w:p>
      <w:pPr>
        <w:pStyle w:val="Normal"/>
        <w:ind w:hanging="2880" w:start="2880" w:end="-720"/>
        <w:jc w:val="both"/>
        <w:rPr>
          <w:sz w:val="18"/>
        </w:rPr>
      </w:pPr>
      <w:r>
        <w:rPr>
          <w:sz w:val="18"/>
        </w:rPr>
      </w:r>
    </w:p>
    <w:p>
      <w:pPr>
        <w:pStyle w:val="Normal"/>
        <w:ind w:hanging="2880" w:start="2880" w:end="-720"/>
        <w:jc w:val="both"/>
        <w:rPr>
          <w:sz w:val="18"/>
        </w:rPr>
      </w:pPr>
      <w:r>
        <w:rPr>
          <w:sz w:val="18"/>
        </w:rPr>
        <w:t>2.  Development Risks</w:t>
        <w:tab/>
        <w:t>Project Columbia has substantially negotiated site control documents that should be signed before March, 2001, and has made substantial progress on permitting, gas transmission, electrical transmission/interconnect, water discharge and water supply arrangements.  No fatal flaws have been identified to date.  Final confirmation of these key inputs is uncertain at this time, however.  Exit strategies involving sale of project are being evaluated, and include a non-binding letter of intent with McCook Metals for the potential purchase of the project.  If the project is not developed the turbine should be readily deployable to another project given current market conditions.</w:t>
      </w:r>
    </w:p>
    <w:p>
      <w:pPr>
        <w:pStyle w:val="Normal"/>
        <w:ind w:end="-720"/>
        <w:jc w:val="both"/>
        <w:rPr>
          <w:sz w:val="18"/>
        </w:rPr>
      </w:pPr>
      <w:r>
        <w:rPr>
          <w:sz w:val="18"/>
        </w:rPr>
      </w:r>
    </w:p>
    <w:p>
      <w:pPr>
        <w:pStyle w:val="Normal"/>
        <w:ind w:hanging="2880" w:start="2880" w:end="-720"/>
        <w:jc w:val="both"/>
        <w:rPr>
          <w:sz w:val="18"/>
        </w:rPr>
      </w:pPr>
      <w:r>
        <w:rPr>
          <w:sz w:val="18"/>
        </w:rPr>
        <w:t>3.   Compressed negotiating schedule</w:t>
        <w:tab/>
        <w:t>Extremely compressed schedule for committing to turbine purchase.  No time to negotiate complete documentation for purchase, or to confirm all development inputs for project prior to commitment.  Mitigated by reference to master form turbine contract and attached term sheet as basis for negotiation and by ability to re-deploy to other projects.</w:t>
      </w:r>
    </w:p>
    <w:p>
      <w:pPr>
        <w:pStyle w:val="Normal"/>
        <w:ind w:end="-720"/>
        <w:jc w:val="both"/>
        <w:rPr>
          <w:sz w:val="18"/>
        </w:rPr>
      </w:pPr>
      <w:r>
        <w:rPr>
          <w:sz w:val="18"/>
        </w:rPr>
      </w:r>
    </w:p>
    <w:p>
      <w:pPr>
        <w:pStyle w:val="Normal"/>
        <w:ind w:hanging="2880" w:start="2880" w:end="-720"/>
        <w:jc w:val="both"/>
        <w:rPr>
          <w:sz w:val="18"/>
        </w:rPr>
      </w:pPr>
      <w:r>
        <w:rPr>
          <w:sz w:val="18"/>
        </w:rPr>
        <w:t>4.  Other</w:t>
        <w:tab/>
        <w:t>Front-end payments are higher than would normally be expected.  Project is obligated to negotiate exclusively (6 month term) with GE for provision of long-term service agreement and water treatment system, and non-exclusively for steam turbine and generators.  Attempting to remove obligation regarding water treatment system, which would potentially delay construction schedule.</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n:/common/legal/mcowan/memo/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/mnt/main-storage/datasets/enron-docs/doc/Project_Columbia___Turbine_acquisition.doc</w:t>
    </w:r>
    <w:r>
      <w:rPr>
        <w:sz w:val="12"/>
      </w:rPr>
      <w:fldChar w:fldCharType="end"/>
    </w:r>
  </w:p>
  <w:p>
    <w:pPr>
      <w:pStyle w:val="Foo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1</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2880" w:start="2880" w:end="0"/>
      <w:jc w:val="both"/>
    </w:pPr>
    <w:rPr>
      <w:sz w:val="18"/>
    </w:rPr>
  </w:style>
  <w:style w:type="paragraph" w:styleId="BlockText">
    <w:name w:val="Block Text"/>
    <w:basedOn w:val="Normal"/>
    <w:qFormat/>
    <w:pPr>
      <w:ind w:hanging="2700" w:start="2707" w:end="-720"/>
      <w:jc w:val="both"/>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2001-02-15T19:04:00Z</dcterms:created>
  <dc:creator>appinst</dc:creator>
  <dc:description/>
  <dc:language>en-CA</dc:language>
  <cp:lastModifiedBy>drasmus</cp:lastModifiedBy>
  <cp:lastPrinted>2001-02-02T07:31:00Z</cp:lastPrinted>
  <dcterms:modified xsi:type="dcterms:W3CDTF">2001-02-16T18:31:00Z</dcterms:modified>
  <cp:revision>5</cp:revision>
  <dc:subject/>
  <dc:title> </dc:title>
</cp:coreProperties>
</file>