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TURKEY:  Regulatory Overview</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numPr>
          <w:ilvl w:val="0"/>
          <w:numId w:val="3"/>
        </w:numPr>
        <w:ind w:hanging="0" w:start="0"/>
        <w:rPr>
          <w:sz w:val="24"/>
        </w:rPr>
      </w:pPr>
      <w:r>
        <w:rPr>
          <w:sz w:val="24"/>
        </w:rPr>
        <w:t>Introduction</w:t>
      </w:r>
    </w:p>
    <w:p>
      <w:pPr>
        <w:pStyle w:val="Normal"/>
        <w:jc w:val="both"/>
        <w:rPr>
          <w:sz w:val="24"/>
        </w:rPr>
      </w:pPr>
      <w:r>
        <w:rPr>
          <w:sz w:val="24"/>
        </w:rPr>
      </w:r>
    </w:p>
    <w:p>
      <w:pPr>
        <w:pStyle w:val="BodyText"/>
        <w:jc w:val="both"/>
        <w:rPr>
          <w:sz w:val="24"/>
        </w:rPr>
      </w:pPr>
      <w:r>
        <w:rPr>
          <w:sz w:val="24"/>
        </w:rPr>
        <w:t>Turkey’s energy sector is characterised by significant electricity and gas shortages, little competition, and national monopoly companies in both electricity generation and distribution and gas supply and transmission.</w:t>
      </w:r>
    </w:p>
    <w:p>
      <w:pPr>
        <w:pStyle w:val="BodyText"/>
        <w:jc w:val="both"/>
        <w:rPr>
          <w:sz w:val="24"/>
        </w:rPr>
      </w:pPr>
      <w:r>
        <w:rPr>
          <w:sz w:val="24"/>
        </w:rPr>
      </w:r>
    </w:p>
    <w:p>
      <w:pPr>
        <w:pStyle w:val="BodyText"/>
        <w:jc w:val="both"/>
        <w:rPr>
          <w:sz w:val="24"/>
        </w:rPr>
      </w:pPr>
      <w:r>
        <w:rPr>
          <w:sz w:val="24"/>
        </w:rPr>
        <w:t>Current electricity demand in Turkey is on the order of 114 Twh per year.  Demand is forecasted to increase to almost 550 Twh per year by the year 2020 – this equates to a increase in demand of approximately 8% per year. The shortages in electricity supply are matched by equally high demand for gas supplies.   Gas demand is currently around 10 Bcm, but is forecast to increase up to 80 Bcm by the year 2020.   The Ministry of Energy and Natural Resources currently anticipates that in order to meet forecasts in demand, total investments in the energy sector will be around 4 –5 billion US dollars per year.</w:t>
      </w:r>
    </w:p>
    <w:p>
      <w:pPr>
        <w:pStyle w:val="BodyTextIndent"/>
        <w:rPr>
          <w:sz w:val="24"/>
        </w:rPr>
      </w:pPr>
      <w:r>
        <w:rPr>
          <w:sz w:val="24"/>
        </w:rPr>
      </w:r>
    </w:p>
    <w:p>
      <w:pPr>
        <w:pStyle w:val="Normal"/>
        <w:jc w:val="both"/>
        <w:rPr>
          <w:sz w:val="24"/>
        </w:rPr>
      </w:pPr>
      <w:r>
        <w:rPr>
          <w:sz w:val="24"/>
        </w:rPr>
      </w:r>
    </w:p>
    <w:p>
      <w:pPr>
        <w:pStyle w:val="Heading1"/>
        <w:numPr>
          <w:ilvl w:val="0"/>
          <w:numId w:val="3"/>
        </w:numPr>
        <w:ind w:hanging="0" w:start="0"/>
        <w:jc w:val="both"/>
        <w:rPr>
          <w:sz w:val="24"/>
        </w:rPr>
      </w:pPr>
      <w:r>
        <w:rPr>
          <w:sz w:val="24"/>
        </w:rPr>
        <w:t>The Electricity Industry</w:t>
      </w:r>
    </w:p>
    <w:p>
      <w:pPr>
        <w:pStyle w:val="Normal"/>
        <w:jc w:val="both"/>
        <w:rPr>
          <w:sz w:val="24"/>
        </w:rPr>
      </w:pPr>
      <w:r>
        <w:rPr>
          <w:sz w:val="24"/>
        </w:rPr>
      </w:r>
    </w:p>
    <w:p>
      <w:pPr>
        <w:pStyle w:val="BodyText2"/>
        <w:jc w:val="both"/>
        <w:rPr>
          <w:sz w:val="24"/>
        </w:rPr>
      </w:pPr>
      <w:r>
        <w:rPr>
          <w:sz w:val="24"/>
        </w:rPr>
        <w:t>The Turkish electricity sector is comprised of the following:</w:t>
      </w:r>
    </w:p>
    <w:p>
      <w:pPr>
        <w:pStyle w:val="BodyText2"/>
        <w:jc w:val="both"/>
        <w:rPr>
          <w:sz w:val="24"/>
        </w:rPr>
      </w:pPr>
      <w:r>
        <w:rPr>
          <w:sz w:val="24"/>
        </w:rPr>
      </w:r>
    </w:p>
    <w:p>
      <w:pPr>
        <w:pStyle w:val="BodyText2"/>
        <w:numPr>
          <w:ilvl w:val="0"/>
          <w:numId w:val="5"/>
        </w:numPr>
        <w:jc w:val="both"/>
        <w:rPr>
          <w:sz w:val="24"/>
        </w:rPr>
      </w:pPr>
      <w:r>
        <w:rPr>
          <w:sz w:val="24"/>
        </w:rPr>
        <w:t>TEAŞ:  responsibility for generation and transmission</w:t>
      </w:r>
    </w:p>
    <w:p>
      <w:pPr>
        <w:pStyle w:val="BodyText2"/>
        <w:numPr>
          <w:ilvl w:val="0"/>
          <w:numId w:val="5"/>
        </w:numPr>
        <w:jc w:val="both"/>
        <w:rPr>
          <w:sz w:val="24"/>
        </w:rPr>
      </w:pPr>
      <w:r>
        <w:rPr>
          <w:sz w:val="24"/>
        </w:rPr>
        <w:t>TEDAŞ:  responsibility for distribution</w:t>
      </w:r>
    </w:p>
    <w:p>
      <w:pPr>
        <w:pStyle w:val="BodyText2"/>
        <w:numPr>
          <w:ilvl w:val="0"/>
          <w:numId w:val="5"/>
        </w:numPr>
        <w:jc w:val="both"/>
        <w:rPr>
          <w:sz w:val="24"/>
        </w:rPr>
      </w:pPr>
      <w:r>
        <w:rPr>
          <w:sz w:val="24"/>
        </w:rPr>
        <w:t>Generation Companies:  independent power producers (4 operational BOT projects, with and additional 11 BOT projects at various stages of development, 5 BOO projects at various stages of development, TOR projects and autoproduction)</w:t>
      </w:r>
    </w:p>
    <w:p>
      <w:pPr>
        <w:pStyle w:val="BodyText2"/>
        <w:numPr>
          <w:ilvl w:val="0"/>
          <w:numId w:val="5"/>
        </w:numPr>
        <w:jc w:val="both"/>
        <w:rPr>
          <w:sz w:val="24"/>
        </w:rPr>
      </w:pPr>
      <w:r>
        <w:rPr>
          <w:sz w:val="24"/>
        </w:rPr>
        <w:t>Private Distribution Companies:  4 independent distribution companies and 10 TOR distribution projects</w:t>
      </w:r>
    </w:p>
    <w:p>
      <w:pPr>
        <w:pStyle w:val="BodyText2"/>
        <w:numPr>
          <w:ilvl w:val="0"/>
          <w:numId w:val="5"/>
        </w:numPr>
        <w:jc w:val="both"/>
        <w:rPr>
          <w:sz w:val="24"/>
        </w:rPr>
      </w:pPr>
      <w:r>
        <w:rPr>
          <w:sz w:val="24"/>
        </w:rPr>
        <w:t xml:space="preserve">Hydro Power: all production facilities owned by TEAŞ </w:t>
      </w:r>
    </w:p>
    <w:p>
      <w:pPr>
        <w:pStyle w:val="BodyText2"/>
        <w:jc w:val="both"/>
        <w:rPr>
          <w:sz w:val="24"/>
        </w:rPr>
      </w:pPr>
      <w:r>
        <w:rPr>
          <w:sz w:val="24"/>
        </w:rPr>
      </w:r>
    </w:p>
    <w:p>
      <w:pPr>
        <w:pStyle w:val="BodyText2"/>
        <w:jc w:val="both"/>
        <w:rPr/>
      </w:pPr>
      <w:r>
        <w:rPr>
          <w:color w:val="auto"/>
          <w:sz w:val="24"/>
        </w:rPr>
        <w:t>TEAŞ and TEDAŞ are both state-owned companies.  The Turkish Treasury in conjunction with the Ministry of Energy and Natural Resources has ultimate responsibility for the operations and investment decisions made by both companies.</w:t>
      </w:r>
    </w:p>
    <w:p>
      <w:pPr>
        <w:pStyle w:val="BodyText2"/>
        <w:jc w:val="both"/>
        <w:rPr>
          <w:color w:val="auto"/>
          <w:sz w:val="24"/>
        </w:rPr>
      </w:pPr>
      <w:r>
        <w:rPr>
          <w:color w:val="auto"/>
          <w:sz w:val="24"/>
        </w:rPr>
      </w:r>
    </w:p>
    <w:p>
      <w:pPr>
        <w:pStyle w:val="BodyText2"/>
        <w:jc w:val="both"/>
        <w:rPr/>
      </w:pPr>
      <w:r>
        <w:rPr>
          <w:color w:val="auto"/>
          <w:sz w:val="24"/>
        </w:rPr>
        <w:t>With the exception of autoproduction facilities, all generators must sell power to TEAŞ.  Further, those companies granted generation status aside from TEAŞ must sell their power to TEAŞ at a pre-determined (negotiated) price.  Long-term power purchase agreements govern these arrangements.  In the case of autoproduction facilities (on-site generation for an industrial or group of industrials), excess power may be sold to TEAŞ or other approved generation companies at a regulated price that is set each month by the Ministry of Energy and Natural Resources in conjunction with TEAŞ.  Further, autoproducers have the ability to wheel power on either TEAŞ, TEDAŞ and other distribution companies transmission lines.  Again, like the power purchase price for excess power, the transmission tariff is regulated by the Ministry of Energy and Natural Resources.</w:t>
      </w:r>
    </w:p>
    <w:p>
      <w:pPr>
        <w:pStyle w:val="Normal"/>
        <w:rPr>
          <w:color w:val="auto"/>
          <w:sz w:val="24"/>
        </w:rPr>
      </w:pPr>
      <w:r>
        <w:rPr>
          <w:color w:val="auto"/>
          <w:sz w:val="24"/>
        </w:rPr>
      </w:r>
    </w:p>
    <w:p>
      <w:pPr>
        <w:pStyle w:val="Heading1"/>
        <w:numPr>
          <w:ilvl w:val="0"/>
          <w:numId w:val="3"/>
        </w:numPr>
        <w:ind w:hanging="0" w:start="0"/>
        <w:rPr>
          <w:sz w:val="24"/>
        </w:rPr>
      </w:pPr>
      <w:r>
        <w:rPr>
          <w:sz w:val="24"/>
        </w:rPr>
        <w:t>The Gas Industry</w:t>
      </w:r>
    </w:p>
    <w:p>
      <w:pPr>
        <w:pStyle w:val="Normal"/>
        <w:rPr>
          <w:sz w:val="24"/>
        </w:rPr>
      </w:pPr>
      <w:r>
        <w:rPr>
          <w:sz w:val="24"/>
        </w:rPr>
      </w:r>
    </w:p>
    <w:p>
      <w:pPr>
        <w:pStyle w:val="BodyText"/>
        <w:jc w:val="both"/>
        <w:rPr>
          <w:sz w:val="24"/>
        </w:rPr>
      </w:pPr>
      <w:r>
        <w:rPr>
          <w:sz w:val="24"/>
        </w:rPr>
        <w:t>The Turkish gas sector is comprised of the following:</w:t>
      </w:r>
    </w:p>
    <w:p>
      <w:pPr>
        <w:pStyle w:val="BodyText"/>
        <w:jc w:val="both"/>
        <w:rPr>
          <w:sz w:val="24"/>
        </w:rPr>
      </w:pPr>
      <w:r>
        <w:rPr>
          <w:sz w:val="24"/>
        </w:rPr>
      </w:r>
    </w:p>
    <w:p>
      <w:pPr>
        <w:pStyle w:val="BodyText"/>
        <w:numPr>
          <w:ilvl w:val="0"/>
          <w:numId w:val="5"/>
        </w:numPr>
        <w:jc w:val="both"/>
        <w:rPr>
          <w:sz w:val="24"/>
        </w:rPr>
      </w:pPr>
      <w:r>
        <w:rPr>
          <w:sz w:val="24"/>
        </w:rPr>
        <w:t>BOTAŞ:  operator of the transmission system and some distribution networks</w:t>
      </w:r>
    </w:p>
    <w:p>
      <w:pPr>
        <w:pStyle w:val="BodyText"/>
        <w:numPr>
          <w:ilvl w:val="0"/>
          <w:numId w:val="5"/>
        </w:numPr>
        <w:jc w:val="both"/>
        <w:rPr>
          <w:sz w:val="24"/>
        </w:rPr>
      </w:pPr>
      <w:r>
        <w:rPr>
          <w:sz w:val="24"/>
        </w:rPr>
        <w:t>Private Distribution Companies</w:t>
      </w:r>
    </w:p>
    <w:p>
      <w:pPr>
        <w:pStyle w:val="BodyText"/>
        <w:jc w:val="both"/>
        <w:rPr>
          <w:sz w:val="24"/>
        </w:rPr>
      </w:pPr>
      <w:r>
        <w:rPr>
          <w:sz w:val="24"/>
        </w:rPr>
      </w:r>
    </w:p>
    <w:p>
      <w:pPr>
        <w:pStyle w:val="BodyText"/>
        <w:jc w:val="both"/>
        <w:rPr/>
      </w:pPr>
      <w:r>
        <w:rPr>
          <w:sz w:val="24"/>
        </w:rPr>
        <w:t>Gas and LNG imports are limited to BOTAŞ only.  Gas distribution is to a certain extent open to private participants; however,  such participation is limited currently to domestic stakeholders.   Competition within the gas sector is constrained due to the monopoly position of BOTAŞ, although it should be noted that the Petroleum Law of 1954, which governs the petroleum and gas sectors, does enable the supply of gas to large industrial users on a bilateral basis providing the supplier has domestic production.  To date, there exist a small number of producers which operate a gas supply business independent of BOTAŞ.</w:t>
      </w:r>
    </w:p>
    <w:p>
      <w:pPr>
        <w:pStyle w:val="BodyText"/>
        <w:jc w:val="both"/>
        <w:rPr>
          <w:sz w:val="24"/>
        </w:rPr>
      </w:pPr>
      <w:r>
        <w:rPr>
          <w:sz w:val="24"/>
        </w:rPr>
      </w:r>
    </w:p>
    <w:p>
      <w:pPr>
        <w:pStyle w:val="BodyText"/>
        <w:jc w:val="both"/>
        <w:rPr/>
      </w:pPr>
      <w:r>
        <w:rPr>
          <w:sz w:val="24"/>
        </w:rPr>
        <w:t>Diversification of gas supply, in addition to ensuring supplies meet current and forecast demand, is priority initiative for the Turkish Government.  Accordingly, there are a variety of gas supply projects into/across Turkey currently under development.  These are namely, the Blue Stream pipeline, Trans-Balkan pipeline, Trans-Caspian pipeline and Trans-Caucus pipeline projects.  Of the three projects, the developers of the Blue Stream pipeline, RAO Gazprom and ENI, have made statements in the press that their project is under construction although industry has yet to confirm any official breaking of ground on the project.  The Trans-Caspian project has significant support from the US Government and would bring gas from Turkmenistan through Turkey into Europe; however, project financing for the pipeline has not begun and things remain at an advanced developmental stage.</w:t>
      </w:r>
    </w:p>
    <w:p>
      <w:pPr>
        <w:pStyle w:val="Normal"/>
        <w:rPr>
          <w:sz w:val="24"/>
        </w:rPr>
      </w:pPr>
      <w:r>
        <w:rPr>
          <w:sz w:val="24"/>
        </w:rPr>
      </w:r>
    </w:p>
    <w:p>
      <w:pPr>
        <w:pStyle w:val="Heading1"/>
        <w:numPr>
          <w:ilvl w:val="0"/>
          <w:numId w:val="3"/>
        </w:numPr>
        <w:ind w:hanging="0" w:start="0"/>
        <w:rPr>
          <w:sz w:val="24"/>
        </w:rPr>
      </w:pPr>
      <w:r>
        <w:rPr>
          <w:sz w:val="24"/>
        </w:rPr>
        <w:t>Regulation of the Energy Sector</w:t>
      </w:r>
    </w:p>
    <w:p>
      <w:pPr>
        <w:pStyle w:val="Normal"/>
        <w:rPr>
          <w:sz w:val="24"/>
        </w:rPr>
      </w:pPr>
      <w:r>
        <w:rPr>
          <w:sz w:val="24"/>
        </w:rPr>
      </w:r>
    </w:p>
    <w:p>
      <w:pPr>
        <w:pStyle w:val="Normal"/>
        <w:numPr>
          <w:ilvl w:val="0"/>
          <w:numId w:val="2"/>
        </w:numPr>
        <w:jc w:val="both"/>
        <w:rPr>
          <w:sz w:val="24"/>
        </w:rPr>
      </w:pPr>
      <w:r>
        <w:rPr>
          <w:sz w:val="24"/>
          <w:u w:val="single"/>
        </w:rPr>
        <w:t>Regulatory/Ratemaking Process</w:t>
      </w:r>
      <w:r>
        <w:rPr>
          <w:sz w:val="24"/>
        </w:rPr>
        <w:t xml:space="preserve">:  The setting of energy policy and the regulation of the electricity and gas sectors in Turkey are functions of the Ministry of Energy and Natural Resources (the MENR).  Associated environmental issues are overseen by the Ministry of Environment, while petroleum issues are the jurisdiction of the Petroleum Affairs General Directorate (PAGD), a quasi-independent division of the MENR.  All long-term energy planning is carried out by the State Planning Organisation (SPO), a direct Cabinet-level function.   </w:t>
      </w:r>
    </w:p>
    <w:p>
      <w:pPr>
        <w:pStyle w:val="Normal"/>
        <w:jc w:val="both"/>
        <w:rPr>
          <w:sz w:val="24"/>
        </w:rPr>
      </w:pPr>
      <w:r>
        <w:rPr>
          <w:sz w:val="24"/>
        </w:rPr>
      </w:r>
    </w:p>
    <w:p>
      <w:pPr>
        <w:pStyle w:val="Normal"/>
        <w:ind w:start="360" w:end="0"/>
        <w:jc w:val="both"/>
        <w:rPr>
          <w:sz w:val="24"/>
        </w:rPr>
      </w:pPr>
      <w:r>
        <w:rPr>
          <w:sz w:val="24"/>
        </w:rPr>
        <w:t>Major policy initiatives require legislative action by the Turkish General Assembly (Parliament) while regulations may be directly implemented through decrees set by the MENR and voted upon by the Council of Ministers.</w:t>
      </w:r>
    </w:p>
    <w:p>
      <w:pPr>
        <w:pStyle w:val="Normal"/>
        <w:ind w:start="360" w:end="0"/>
        <w:jc w:val="both"/>
        <w:rPr>
          <w:sz w:val="24"/>
        </w:rPr>
      </w:pPr>
      <w:r>
        <w:rPr>
          <w:sz w:val="24"/>
        </w:rPr>
      </w:r>
    </w:p>
    <w:p>
      <w:pPr>
        <w:pStyle w:val="Normal"/>
        <w:ind w:start="360" w:end="0"/>
        <w:jc w:val="both"/>
        <w:rPr>
          <w:sz w:val="24"/>
        </w:rPr>
      </w:pPr>
      <w:r>
        <w:rPr>
          <w:sz w:val="24"/>
        </w:rPr>
        <w:t xml:space="preserve">There is no independent regulatory body for the electricity or gas sector at present, although this could be subject to change in the near future.  The petroleum sector, however, is regulated by the PAGD which, as previously noted, is to a certain degree independent of the MENR.  </w:t>
      </w:r>
    </w:p>
    <w:p>
      <w:pPr>
        <w:pStyle w:val="Normal"/>
        <w:ind w:start="360" w:end="0"/>
        <w:jc w:val="both"/>
        <w:rPr>
          <w:sz w:val="24"/>
        </w:rPr>
      </w:pPr>
      <w:r>
        <w:rPr>
          <w:sz w:val="24"/>
        </w:rPr>
      </w:r>
    </w:p>
    <w:p>
      <w:pPr>
        <w:pStyle w:val="Normal"/>
        <w:ind w:start="360" w:end="0"/>
        <w:jc w:val="both"/>
        <w:rPr/>
      </w:pPr>
      <w:r>
        <w:rPr>
          <w:sz w:val="24"/>
        </w:rPr>
        <w:t xml:space="preserve">Electricity and gas tariffs are determined annually by the state economic enterprises – TEAŞ (electricity generation and transmission), TEDAŞ (electricity distribution) and BOTAŞ (gas production, transmission and distribution) – but, require approval by the MENR.  Petroleum tariffs are set by the PAGD and are to a certain extent subject to competitive forces.  </w:t>
      </w:r>
    </w:p>
    <w:p>
      <w:pPr>
        <w:pStyle w:val="Normal"/>
        <w:ind w:start="360" w:end="0"/>
        <w:jc w:val="both"/>
        <w:rPr>
          <w:sz w:val="24"/>
        </w:rPr>
      </w:pPr>
      <w:r>
        <w:rPr>
          <w:sz w:val="24"/>
        </w:rPr>
      </w:r>
    </w:p>
    <w:p>
      <w:pPr>
        <w:pStyle w:val="BodyTextIndent"/>
        <w:numPr>
          <w:ilvl w:val="0"/>
          <w:numId w:val="4"/>
        </w:numPr>
        <w:rPr>
          <w:sz w:val="24"/>
        </w:rPr>
      </w:pPr>
      <w:r>
        <w:rPr>
          <w:sz w:val="24"/>
          <w:u w:val="single"/>
        </w:rPr>
        <w:t>Future Changes to Energy Policy and Regulation</w:t>
      </w:r>
      <w:r>
        <w:rPr>
          <w:sz w:val="24"/>
        </w:rPr>
        <w:t xml:space="preserve">:  Since the beginning of 1998, the MENR has been investigating how to restructure the electricity and gas sectors.   Energy sector reform is currently a top priority of the MENR and work is currently underway to draft legislation that would provide a framework for greater access and competition in the electricity and gas sectors.   </w:t>
      </w:r>
    </w:p>
    <w:p>
      <w:pPr>
        <w:pStyle w:val="BodyTextIndent"/>
        <w:ind w:start="0" w:end="0"/>
        <w:rPr>
          <w:sz w:val="24"/>
          <w:u w:val="single"/>
        </w:rPr>
      </w:pPr>
      <w:r>
        <w:rPr>
          <w:sz w:val="24"/>
          <w:u w:val="single"/>
        </w:rPr>
      </w:r>
    </w:p>
    <w:p>
      <w:pPr>
        <w:pStyle w:val="BodyTextIndent"/>
        <w:rPr/>
      </w:pPr>
      <w:r>
        <w:rPr>
          <w:sz w:val="24"/>
        </w:rPr>
        <w:t>While the exact nature of the proposed changes to the existing electricity and gas laws are as yet unclear, it is fair to state that proposals for the gas sector are likely to include the removal of BOTAŞ import monopoly on natural gas and LNG, the unbundling of BOTAŞ’ production, transmission and distribution functions, provisions for regulated third party access to the transmission system, the licensing of third party suppliers and the creation of an independent regulatory body with oversight for the setting of tariffs and regulation of the distribution system.  The changes envisioned for the gas sector will necessitate legislation amending the Petroleum Act of 1954 and will essentially take the existing PAGD agency functions and turn the agency into the new regulatory board for the sector (note:  petroleum already benefits from a more open regulatory regime, thus the proposed changes to the 1954 Act will place gas and petroleum on a more level playing field).</w:t>
      </w:r>
    </w:p>
    <w:p>
      <w:pPr>
        <w:pStyle w:val="BodyTextIndent"/>
        <w:ind w:firstLine="360" w:start="0" w:end="0"/>
        <w:rPr>
          <w:sz w:val="24"/>
        </w:rPr>
      </w:pPr>
      <w:r>
        <w:rPr>
          <w:sz w:val="24"/>
        </w:rPr>
      </w:r>
    </w:p>
    <w:p>
      <w:pPr>
        <w:pStyle w:val="Normal"/>
        <w:ind w:start="360" w:end="0"/>
        <w:jc w:val="both"/>
        <w:rPr/>
      </w:pPr>
      <w:r>
        <w:rPr>
          <w:sz w:val="24"/>
        </w:rPr>
        <w:t>Proposed changes to the electricity sector appear to be characterised by the unbundling of TEAŞ’ generation and transmission functions – this is already underway via the TOR (Transfer of Operating Rights) generation projects which the MENR began towards the end of 1998.  Under the TOR generation programme, all of TEAŞ’ generation will be sold to private entities under 20 year concessions to the Government.  Additional plans include the establishment of an independent regulatory body (as yet, no views as to whether this function would ever be combined with that proposed for the gas and petroleum sectors) and the creation of a power pool.  Gradual phasing in of third party access to the transmission lines for licensed suppliers is envisioned along with the provision for autoproducers or autoproduction groups to sell directly to a future pool or to eligible customers.  Unlike the proposed changes to the gas sector, there remains a substantial grey area in terms of how the newly restructured electricity sector could be structured and eventually operate.</w:t>
      </w:r>
    </w:p>
    <w:p>
      <w:pPr>
        <w:pStyle w:val="Normal"/>
        <w:rPr>
          <w:sz w:val="24"/>
        </w:rPr>
      </w:pPr>
      <w:r>
        <w:rPr>
          <w:sz w:val="24"/>
        </w:rPr>
      </w:r>
    </w:p>
    <w:p>
      <w:pPr>
        <w:pStyle w:val="Heading1"/>
        <w:numPr>
          <w:ilvl w:val="0"/>
          <w:numId w:val="3"/>
        </w:numPr>
        <w:ind w:hanging="0" w:start="0"/>
        <w:rPr>
          <w:sz w:val="24"/>
        </w:rPr>
      </w:pPr>
      <w:r>
        <w:rPr>
          <w:sz w:val="24"/>
        </w:rPr>
        <w:t>Political Environment</w:t>
      </w:r>
    </w:p>
    <w:p>
      <w:pPr>
        <w:pStyle w:val="Normal"/>
        <w:jc w:val="both"/>
        <w:rPr>
          <w:sz w:val="24"/>
        </w:rPr>
      </w:pPr>
      <w:r>
        <w:rPr>
          <w:sz w:val="24"/>
        </w:rPr>
      </w:r>
    </w:p>
    <w:p>
      <w:pPr>
        <w:pStyle w:val="BodyText3"/>
        <w:rPr>
          <w:sz w:val="24"/>
        </w:rPr>
      </w:pPr>
      <w:r>
        <w:rPr>
          <w:sz w:val="24"/>
        </w:rPr>
        <w:t xml:space="preserve">Since the economic crisis of 1994, political instability has dominated Turkish politics.  Over the past five years Turkey has been ruled by approximately 5 coalition parties which have dissolved more often than not as a result of corruption among the senior officers in Government.   The most recent coalition Government to be thrown out was that under the leadership of Prime Minister Mesut Yilmaz of the Motherland Party (MP).  As a result of corruption allegations, Prime Minister Yilmaz was voted out of office by the Turkish Grand National Assembly on 25 November 1998. </w:t>
      </w:r>
    </w:p>
    <w:p>
      <w:pPr>
        <w:pStyle w:val="Normal"/>
        <w:jc w:val="both"/>
        <w:rPr>
          <w:sz w:val="24"/>
        </w:rPr>
      </w:pPr>
      <w:r>
        <w:rPr>
          <w:sz w:val="24"/>
        </w:rPr>
      </w:r>
    </w:p>
    <w:p>
      <w:pPr>
        <w:pStyle w:val="BodyTextIndent"/>
        <w:ind w:start="0" w:end="0"/>
        <w:rPr>
          <w:sz w:val="24"/>
        </w:rPr>
      </w:pPr>
      <w:r>
        <w:rPr>
          <w:sz w:val="24"/>
        </w:rPr>
        <w:t>Today’s Government, which officially came into office in May 1999, is led by Prime Minister Bulent Ecevit of the Democratic Left Party (DLP) and is comprised of a coalition between the DLP, the Nationalist Action Party (NAP) and the Motherland Party (MP).  Since coming into office, the Government has taken great strides to begin addressing key issues which have been affecting the country’s economic growth – namely, revitalising the privatisation programme, correcting on-going legal problems associated with foreign investment and establishing a more comprehensive tax framework.  Action on each of these reform projects had just begun when the earthquake hit Turkey on 17 August; thus, future action and results will be uncertain until such times as the Government can begin to make headway with the post-earthquake reconstruction efforts.</w:t>
      </w:r>
    </w:p>
    <w:p>
      <w:pPr>
        <w:pStyle w:val="BodyTextIndent"/>
        <w:rPr>
          <w:sz w:val="24"/>
        </w:rPr>
      </w:pPr>
      <w:r>
        <w:rPr>
          <w:sz w:val="24"/>
        </w:rPr>
      </w:r>
    </w:p>
    <w:p>
      <w:pPr>
        <w:pStyle w:val="Heading2"/>
        <w:numPr>
          <w:ilvl w:val="0"/>
          <w:numId w:val="3"/>
        </w:numPr>
        <w:ind w:hanging="0" w:start="0"/>
        <w:rPr>
          <w:sz w:val="24"/>
        </w:rPr>
      </w:pPr>
      <w:r>
        <w:rPr>
          <w:sz w:val="24"/>
        </w:rPr>
        <w:t>Environmental Regulation</w:t>
      </w:r>
    </w:p>
    <w:p>
      <w:pPr>
        <w:pStyle w:val="Normal"/>
        <w:rPr>
          <w:sz w:val="24"/>
        </w:rPr>
      </w:pPr>
      <w:r>
        <w:rPr>
          <w:sz w:val="24"/>
        </w:rPr>
      </w:r>
    </w:p>
    <w:p>
      <w:pPr>
        <w:pStyle w:val="BodyText3"/>
        <w:rPr>
          <w:sz w:val="24"/>
        </w:rPr>
      </w:pPr>
      <w:r>
        <w:rPr>
          <w:sz w:val="24"/>
        </w:rPr>
        <w:t>The Ministry of Environment and the Ministry of Health hold primary responsibility for protection of the environment.</w:t>
      </w:r>
    </w:p>
    <w:p>
      <w:pPr>
        <w:pStyle w:val="BodyText3"/>
        <w:rPr>
          <w:sz w:val="24"/>
        </w:rPr>
      </w:pPr>
      <w:r>
        <w:rPr>
          <w:sz w:val="24"/>
        </w:rPr>
      </w:r>
    </w:p>
    <w:p>
      <w:pPr>
        <w:pStyle w:val="BodyText3"/>
        <w:rPr>
          <w:sz w:val="24"/>
        </w:rPr>
      </w:pPr>
      <w:r>
        <w:rPr>
          <w:sz w:val="24"/>
        </w:rPr>
        <w:t xml:space="preserve">The central foundation of Turkish environmental law is The Environmental Act of 1983.  In addition to this piece of legislation, there are key laws on water pollution, air quality, environmental impact assessment and health/non-hygienic establishments.  Each of these laws was last amended in the 1980s.  </w:t>
      </w:r>
    </w:p>
    <w:p>
      <w:pPr>
        <w:pStyle w:val="Normal"/>
        <w:jc w:val="both"/>
        <w:rPr>
          <w:sz w:val="24"/>
        </w:rPr>
      </w:pPr>
      <w:r>
        <w:rPr>
          <w:sz w:val="24"/>
        </w:rPr>
      </w:r>
    </w:p>
    <w:p>
      <w:pPr>
        <w:pStyle w:val="Normal"/>
        <w:jc w:val="both"/>
        <w:rPr>
          <w:sz w:val="24"/>
        </w:rPr>
      </w:pPr>
      <w:r>
        <w:rPr>
          <w:sz w:val="24"/>
        </w:rPr>
        <w:t>To date, there are no expectations that the Government will undertake an initiative to introduce new environmental legislation or amend the existing regulations and laws on the environment.</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3"/>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3"/>
      </w:numPr>
      <w:outlineLvl w:val="0"/>
    </w:pPr>
    <w:rPr>
      <w:b/>
    </w:rPr>
  </w:style>
  <w:style w:type="paragraph" w:styleId="Heading2">
    <w:name w:val="heading 2"/>
    <w:basedOn w:val="Normal"/>
    <w:next w:val="Normal"/>
    <w:qFormat/>
    <w:pPr>
      <w:keepNext w:val="true"/>
      <w:numPr>
        <w:ilvl w:val="0"/>
        <w:numId w:val="3"/>
      </w:numPr>
      <w:outlineLvl w:val="1"/>
    </w:pPr>
    <w:rPr>
      <w:b/>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paragraph" w:styleId="BodyText2">
    <w:name w:val="Body Text 2"/>
    <w:basedOn w:val="Normal"/>
    <w:qFormat/>
    <w:pPr/>
    <w:rPr>
      <w:color w:val="000000"/>
      <w:sz w:val="22"/>
    </w:rPr>
  </w:style>
  <w:style w:type="paragraph" w:styleId="BodyText3">
    <w:name w:val="Body Text 3"/>
    <w:basedOn w:val="Normal"/>
    <w:qFormat/>
    <w:pPr>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1999-10-13T18:07:00Z</dcterms:created>
  <dc:creator>Fiona A. R. Grant</dc:creator>
  <dc:description/>
  <dc:language>en-CA</dc:language>
  <cp:lastModifiedBy>Fiona A. R. Grant</cp:lastModifiedBy>
  <cp:lastPrinted>1999-08-31T14:27:00Z</cp:lastPrinted>
  <dcterms:modified xsi:type="dcterms:W3CDTF">1999-10-13T18:07:00Z</dcterms:modified>
  <cp:revision>2</cp:revision>
  <dc:subject/>
  <dc:title>TURKEY:  Regulatory Overview</dc:title>
</cp:coreProperties>
</file>