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
        </w:rPr>
      </w:pPr>
      <w:r>
        <w:rPr>
          <w:sz w:val="2"/>
        </w:rPr>
      </w:r>
      <w:r>
        <mc:AlternateContent>
          <mc:Choice Requires="wps">
            <w:drawing>
              <wp:anchor behindDoc="0" distT="0" distB="0" distL="118745" distR="118745" simplePos="0" locked="0" layoutInCell="0" allowOverlap="1" relativeHeight="2">
                <wp:simplePos x="0" y="0"/>
                <wp:positionH relativeFrom="page">
                  <wp:posOffset>475615</wp:posOffset>
                </wp:positionH>
                <wp:positionV relativeFrom="page">
                  <wp:posOffset>305435</wp:posOffset>
                </wp:positionV>
                <wp:extent cx="6858000" cy="1203325"/>
                <wp:effectExtent l="0" t="0" r="0" b="0"/>
                <wp:wrapSquare wrapText="bothSides"/>
                <wp:docPr id="1" name="Frame1"/>
                <a:graphic xmlns:a="http://schemas.openxmlformats.org/drawingml/2006/main">
                  <a:graphicData uri="http://schemas.microsoft.com/office/word/2010/wordprocessingShape">
                    <wps:wsp>
                      <wps:cNvSpPr txBox="1"/>
                      <wps:spPr>
                        <a:xfrm>
                          <a:off x="0" y="0"/>
                          <a:ext cx="6858000" cy="1203325"/>
                        </a:xfrm>
                        <a:prstGeom prst="rect"/>
                        <a:solidFill>
                          <a:srgbClr val="FFFFFF">
                            <a:alpha val="0"/>
                          </a:srgbClr>
                        </a:solidFill>
                      </wps:spPr>
                      <wps:txbx>
                        <w:txbxContent>
                          <w:p>
                            <w:pPr>
                              <w:pStyle w:val="Heading"/>
                              <w:rPr/>
                            </w:pPr>
                            <w:r>
                              <w:rPr/>
                              <w:drawing>
                                <wp:inline distT="0" distB="0" distL="0" distR="0">
                                  <wp:extent cx="2412365" cy="8528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5" t="-42" r="-15" b="-42"/>
                                          <a:stretch>
                                            <a:fillRect/>
                                          </a:stretch>
                                        </pic:blipFill>
                                        <pic:spPr bwMode="auto">
                                          <a:xfrm>
                                            <a:off x="0" y="0"/>
                                            <a:ext cx="2412365" cy="852805"/>
                                          </a:xfrm>
                                          <a:prstGeom prst="rect">
                                            <a:avLst/>
                                          </a:prstGeom>
                                          <a:noFill/>
                                        </pic:spPr>
                                      </pic:pic>
                                    </a:graphicData>
                                  </a:graphic>
                                </wp:inline>
                              </w:drawing>
                            </w:r>
                          </w:p>
                          <w:p>
                            <w:pPr>
                              <w:pStyle w:val="Heading"/>
                              <w:rPr/>
                            </w:pPr>
                            <w:r>
                              <w:rPr/>
                            </w:r>
                          </w:p>
                          <w:p>
                            <w:pPr>
                              <w:pStyle w:val="Heading"/>
                              <w:rPr/>
                            </w:pPr>
                            <w:r>
                              <w:rPr/>
                            </w:r>
                          </w:p>
                        </w:txbxContent>
                      </wps:txbx>
                      <wps:bodyPr anchor="t" lIns="0" tIns="0" rIns="0" bIns="0">
                        <a:noAutofit/>
                      </wps:bodyPr>
                    </wps:wsp>
                  </a:graphicData>
                </a:graphic>
              </wp:anchor>
            </w:drawing>
          </mc:Choice>
          <mc:Fallback>
            <w:pict>
              <v:rect fillcolor="#FFFFFF" style="position:absolute;rotation:-0;width:540pt;height:94.75pt;mso-wrap-distance-left:9.35pt;mso-wrap-distance-right:9.35pt;mso-wrap-distance-top:0pt;mso-wrap-distance-bottom:0pt;margin-top:24.05pt;mso-position-vertical-relative:page;margin-left:37.45pt;mso-position-horizontal-relative:page">
                <v:fill opacity="0f"/>
                <v:textbox inset="0in,0in,0in,0in">
                  <w:txbxContent>
                    <w:p>
                      <w:pPr>
                        <w:pStyle w:val="Heading"/>
                        <w:rPr/>
                      </w:pPr>
                      <w:r>
                        <w:rPr/>
                        <w:drawing>
                          <wp:inline distT="0" distB="0" distL="0" distR="0">
                            <wp:extent cx="2412365" cy="85280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5" t="-42" r="-15" b="-42"/>
                                    <a:stretch>
                                      <a:fillRect/>
                                    </a:stretch>
                                  </pic:blipFill>
                                  <pic:spPr bwMode="auto">
                                    <a:xfrm>
                                      <a:off x="0" y="0"/>
                                      <a:ext cx="2412365" cy="852805"/>
                                    </a:xfrm>
                                    <a:prstGeom prst="rect">
                                      <a:avLst/>
                                    </a:prstGeom>
                                    <a:noFill/>
                                  </pic:spPr>
                                </pic:pic>
                              </a:graphicData>
                            </a:graphic>
                          </wp:inline>
                        </w:drawing>
                      </w:r>
                    </w:p>
                    <w:p>
                      <w:pPr>
                        <w:pStyle w:val="Heading"/>
                        <w:rPr/>
                      </w:pPr>
                      <w:r>
                        <w:rPr/>
                      </w:r>
                    </w:p>
                    <w:p>
                      <w:pPr>
                        <w:pStyle w:val="Heading"/>
                        <w:rPr/>
                      </w:pPr>
                      <w:r>
                        <w:rPr/>
                      </w:r>
                    </w:p>
                  </w:txbxContent>
                </v:textbox>
                <w10:wrap type="square"/>
              </v:rect>
            </w:pict>
          </mc:Fallback>
        </mc:AlternateContent>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Kevin Hyatt</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Commercial Team</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Project Pueblo &amp; Enron Indian Affairs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bookmarkStart w:id="1" w:name="Date"/>
            <w:bookmarkEnd w:id="1"/>
            <w:r>
              <w:rPr/>
              <w:t>March 23, 1900</w:t>
            </w:r>
          </w:p>
        </w:tc>
      </w:tr>
    </w:tbl>
    <w:p>
      <w:pPr>
        <w:pStyle w:val="Body"/>
        <w:rPr/>
      </w:pPr>
      <w:r>
        <w:rPr/>
      </w:r>
      <w:bookmarkStart w:id="2" w:name="StartOfMemo"/>
      <w:bookmarkStart w:id="3" w:name="StartOfMemo"/>
      <w:bookmarkEnd w:id="3"/>
    </w:p>
    <w:p>
      <w:pPr>
        <w:pStyle w:val="Normal"/>
        <w:rPr/>
      </w:pPr>
      <w:r>
        <w:rPr/>
        <w:t>Today I met with Roger Fragua from Enron’s American Indian Affairs Group</w:t>
      </w:r>
      <w:r>
        <w:rPr>
          <w:b/>
        </w:rPr>
        <w:t xml:space="preserve">.  </w:t>
      </w:r>
      <w:r>
        <w:rPr/>
        <w:t>We discussed Project Pueblo and Dennis Langley at length.</w:t>
      </w:r>
    </w:p>
    <w:p>
      <w:pPr>
        <w:pStyle w:val="Normal"/>
        <w:rPr/>
      </w:pPr>
      <w:r>
        <w:rPr/>
      </w:r>
    </w:p>
    <w:p>
      <w:pPr>
        <w:pStyle w:val="Normal"/>
        <w:rPr/>
      </w:pPr>
      <w:r>
        <w:rPr/>
        <w:t>Roger met Dennis at a national Native American energy deregulation conference organized by Roger in 1997.  He is very familiar with Dennis and his energy efforts in New Mexico; Roger almost went to work him.</w:t>
      </w:r>
    </w:p>
    <w:p>
      <w:pPr>
        <w:pStyle w:val="Normal"/>
        <w:rPr/>
      </w:pPr>
      <w:r>
        <w:rPr/>
      </w:r>
    </w:p>
    <w:p>
      <w:pPr>
        <w:pStyle w:val="Normal"/>
        <w:rPr/>
      </w:pPr>
      <w:r>
        <w:rPr/>
        <w:t>Roger also knows DOE Sec. Bill Richardson (probably better than Dennis).  Bill is a former US House Rep. from New Mexico and according to Roger, it was the Indian Nations that got him elected.  (This jives with the comments we’ve heard about Bill’s concern with getting the Nations a piece of the energy pie.)</w:t>
      </w:r>
    </w:p>
    <w:p>
      <w:pPr>
        <w:pStyle w:val="Normal"/>
        <w:rPr/>
      </w:pPr>
      <w:r>
        <w:rPr/>
      </w:r>
    </w:p>
    <w:p>
      <w:pPr>
        <w:pStyle w:val="Normal"/>
        <w:rPr/>
      </w:pPr>
      <w:r>
        <w:rPr/>
        <w:t>For several years the tribes have been trying to put together a deal where they build a gas pipeline south from Farmington to near Albuquerque.  The pipe would carry tribal production (there are 13 producer / operators paying royalties to the tribes now) and would only cross tribal property.  The initial goal was to serve the gypsum plant near Albuquerque but they have expanded the goal to possibly build a power plant to serve the Intel chip manufacturing plant.  According to Roger, Intel collects $9mm annually from PNM for power service interruptions that severely impact their manufacturing line.</w:t>
      </w:r>
    </w:p>
    <w:p>
      <w:pPr>
        <w:pStyle w:val="Normal"/>
        <w:rPr/>
      </w:pPr>
      <w:r>
        <w:rPr/>
      </w:r>
    </w:p>
    <w:p>
      <w:pPr>
        <w:pStyle w:val="Normal"/>
        <w:rPr/>
      </w:pPr>
      <w:r>
        <w:rPr/>
        <w:t>Anyway, the tribes were working with Mapco (now Williams) to build the line but Mapco wanted an 87% share of the deal.  The tribes said no way, haggled some more, then Williams bought out Mapco and the project died.  Dennis found out about the pipeline and offered to do it but has so far refused to give the tribes a majority interest (according to Roger, Dennis even refused a 51/49 split with the tribes as the majority.</w:t>
      </w:r>
    </w:p>
    <w:p>
      <w:pPr>
        <w:pStyle w:val="Normal"/>
        <w:rPr/>
      </w:pPr>
      <w:r>
        <w:rPr/>
      </w:r>
    </w:p>
    <w:p>
      <w:pPr>
        <w:pStyle w:val="Normal"/>
        <w:rPr/>
      </w:pPr>
      <w:r>
        <w:rPr/>
        <w:t>Dennis has been working with most of the area tribes, spending “goodwill” money and donating to various tribal projects.  He recently got 4 or 5 of the tribes to sign letters granting them 15% of Dennis’ “marketing” company.  According to Roger, Dennis has presented the letters to Richardson to get his DOE deal moving (I will see if Roger can get us a copy).</w:t>
      </w:r>
    </w:p>
    <w:p>
      <w:pPr>
        <w:pStyle w:val="Normal"/>
        <w:rPr/>
      </w:pPr>
      <w:r>
        <w:rPr/>
      </w:r>
    </w:p>
    <w:p>
      <w:pPr>
        <w:pStyle w:val="Normal"/>
        <w:rPr/>
      </w:pPr>
      <w:r>
        <w:rPr/>
        <w:t>Enough about history, now to the current project.  Per Roger, the Isleta Pueblo are mainly concerned with their gaming operations; it is their current lifeblood.  Roger feels the Isleta have given Dennis pretty much free rein to try and put his energy deal together and drop it in their lap.  Below are some the deal issues:</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rPr/>
      </w:pPr>
      <w:r>
        <w:rPr/>
        <w:t>Bill Richardson longevity – If the Republicans win the current election, George W. will have his own friends placed in the energy department.  Roger feels Richardson may go back to New Mexico and run for governor or some other political position.  Therein lies Dennis’ sense of urgency to get his deal done (but we already knew this).</w:t>
      </w:r>
    </w:p>
    <w:p>
      <w:pPr>
        <w:pStyle w:val="Normal"/>
        <w:rPr/>
      </w:pPr>
      <w:r>
        <w:rPr/>
      </w:r>
    </w:p>
    <w:p>
      <w:pPr>
        <w:pStyle w:val="Normal"/>
        <w:rPr/>
      </w:pPr>
      <w:r>
        <w:rPr>
          <w:b/>
        </w:rPr>
        <w:t>Government Energy Contracts</w:t>
      </w:r>
      <w:r>
        <w:rPr/>
        <w:t xml:space="preserve"> – Even if Dennis gets his DOE deal (which I think only gets </w:t>
      </w:r>
      <w:r>
        <w:rPr>
          <w:i/>
        </w:rPr>
        <w:t xml:space="preserve">preferential </w:t>
      </w:r>
      <w:r>
        <w:rPr/>
        <w:t>treatment for the WMBE), it is not a mandate for Sandia or Kirtland to use the Langley/Pueblo energy company.  That contract still has to be approved by the Base Contracting Officer (which has a different bureaucratic reporting structure than the base military commanding officer).  Roger said if we have any doubts about this to call Bill Votaw in EES’ Federal Solutions group.  Bill is a former military man who has been working to plug EES into defense energy contracts and has run into this roadblock several times.</w:t>
      </w:r>
    </w:p>
    <w:p>
      <w:pPr>
        <w:pStyle w:val="Normal"/>
        <w:rPr/>
      </w:pPr>
      <w:r>
        <w:rPr/>
      </w:r>
    </w:p>
    <w:p>
      <w:pPr>
        <w:pStyle w:val="Normal"/>
        <w:rPr/>
      </w:pPr>
      <w:r>
        <w:rPr>
          <w:b/>
        </w:rPr>
        <w:t>Electric Power Plant</w:t>
      </w:r>
      <w:r>
        <w:rPr/>
        <w:t xml:space="preserve"> – We all agree the pipe won’t fly without something like a gas-fired power plant on the delivery end.  A small plant to fill the government contracts isn’t big enough and if we over-build the plant, there are constraint issues that prevent the exportation of the power.</w:t>
      </w:r>
    </w:p>
    <w:p>
      <w:pPr>
        <w:pStyle w:val="Normal"/>
        <w:rPr/>
      </w:pPr>
      <w:r>
        <w:rPr/>
      </w:r>
    </w:p>
    <w:p>
      <w:pPr>
        <w:pStyle w:val="Normal"/>
        <w:rPr/>
      </w:pPr>
      <w:r>
        <w:rPr/>
        <w:t>In 1990, PNM tried to solve the constraint issue by building the Olay (sp?) line to tie together two portions of the electric grid.  The high voltage transmission line would run right over some sacred tribal land.  PNM never bothered to consult the tribes when they laid out the path.  The tribes fought the project, won, and the line was never built.  Enron has gone to the tribes offering the same proposal but letting the tribes draw up the path, which they have done.  However, a recent tribal leadership change has put the project on the back burner for now.</w:t>
      </w:r>
    </w:p>
    <w:p>
      <w:pPr>
        <w:pStyle w:val="Normal"/>
        <w:rPr/>
      </w:pPr>
      <w:r>
        <w:rPr/>
      </w:r>
    </w:p>
    <w:p>
      <w:pPr>
        <w:pStyle w:val="Normal"/>
        <w:rPr/>
      </w:pPr>
      <w:r>
        <w:rPr>
          <w:b/>
        </w:rPr>
        <w:t>Tax Issues</w:t>
      </w:r>
      <w:r>
        <w:rPr/>
        <w:t xml:space="preserve"> – Roger has had a hard time figuring out Dennis’ need to retain a majority interest.  If he holds the majority, the earnings (and property?) are subject to local, state, and federal taxes.  Not so if the Indians hold the majority.  Roger has a law firm in Albuquerque that is doing some work for him.  One of their tasks is to verify this issue.</w:t>
      </w:r>
    </w:p>
    <w:p>
      <w:pPr>
        <w:pStyle w:val="Header"/>
        <w:tabs>
          <w:tab w:val="clear" w:pos="4320"/>
          <w:tab w:val="clear" w:pos="8640"/>
        </w:tabs>
        <w:rPr/>
      </w:pPr>
      <w:r>
        <w:rPr/>
      </w:r>
    </w:p>
    <w:p>
      <w:pPr>
        <w:pStyle w:val="Header"/>
        <w:tabs>
          <w:tab w:val="clear" w:pos="4320"/>
          <w:tab w:val="clear" w:pos="8640"/>
        </w:tabs>
        <w:rPr/>
      </w:pPr>
      <w:r>
        <w:rPr/>
        <w:t xml:space="preserve">Next Steps – </w:t>
      </w:r>
    </w:p>
    <w:p>
      <w:pPr>
        <w:pStyle w:val="Normal"/>
        <w:numPr>
          <w:ilvl w:val="0"/>
          <w:numId w:val="2"/>
        </w:numPr>
        <w:rPr/>
      </w:pPr>
      <w:r>
        <w:rPr/>
        <w:t>I am getting a couple of models sent to me to begin analyzing the financial viability of the power plant.  One of the models has a comparison of advantages with building the project on Indian vs. non-Indian land.</w:t>
      </w:r>
    </w:p>
    <w:p>
      <w:pPr>
        <w:pStyle w:val="Normal"/>
        <w:numPr>
          <w:ilvl w:val="0"/>
          <w:numId w:val="2"/>
        </w:numPr>
        <w:rPr/>
      </w:pPr>
      <w:r>
        <w:rPr/>
        <w:t>If at all possible, I suggest we get back with Dennis and find out exactly what he hopes his contract will look like with the DOE.  Can the deal even be used to project finance the pipe and if not, what will?</w:t>
      </w:r>
    </w:p>
    <w:p>
      <w:pPr>
        <w:pStyle w:val="Normal"/>
        <w:numPr>
          <w:ilvl w:val="0"/>
          <w:numId w:val="2"/>
        </w:numPr>
        <w:rPr/>
      </w:pPr>
      <w:r>
        <w:rPr/>
        <w:t>I will stay in touch with Roger as he learns more about the Indian tax advantages.</w:t>
      </w:r>
    </w:p>
    <w:p>
      <w:pPr>
        <w:pStyle w:val="Normal"/>
        <w:numPr>
          <w:ilvl w:val="0"/>
          <w:numId w:val="2"/>
        </w:numPr>
        <w:rPr/>
      </w:pPr>
      <w:r>
        <w:rPr/>
        <w:t>Anything else?</w:t>
      </w:r>
    </w:p>
    <w:p>
      <w:pPr>
        <w:pStyle w:val="Footer"/>
        <w:tabs>
          <w:tab w:val="clear" w:pos="4320"/>
          <w:tab w:val="clear" w:pos="8640"/>
          <w:tab w:val="left" w:pos="540" w:leader="none"/>
        </w:tabs>
        <w:rPr/>
      </w:pPr>
      <w:r>
        <w:rPr/>
      </w:r>
    </w:p>
    <w:p>
      <w:pPr>
        <w:pStyle w:val="Normal"/>
        <w:rPr/>
      </w:pPr>
      <w:r>
        <w:rPr>
          <w:rFonts w:eastAsia="Arial"/>
        </w:rPr>
        <w:t xml:space="preserve"> </w:t>
      </w:r>
      <w:r>
        <w:rPr/>
        <w:t>Call me with questions. thanks</w:t>
      </w:r>
    </w:p>
    <w:p>
      <w:pPr>
        <w:pStyle w:val="Normal"/>
        <w:rPr/>
      </w:pPr>
      <w:r>
        <w:rPr/>
      </w:r>
    </w:p>
    <w:p>
      <w:pPr>
        <w:pStyle w:val="Normal"/>
        <w:rPr/>
      </w:pPr>
      <w:r>
        <w:rPr/>
      </w:r>
    </w:p>
    <w:p>
      <w:pPr>
        <w:pStyle w:val="Normal"/>
        <w:rPr/>
      </w:pPr>
      <w:r>
        <w:rPr/>
      </w:r>
    </w:p>
    <w:p>
      <w:pPr>
        <w:pStyle w:val="Normal"/>
        <w:rPr>
          <w:b/>
        </w:rPr>
      </w:pPr>
      <w:r>
        <w:rPr>
          <w:b/>
        </w:rPr>
        <w:t>Distribution:</w:t>
      </w:r>
    </w:p>
    <w:p>
      <w:pPr>
        <w:pStyle w:val="Normal"/>
        <w:rPr/>
      </w:pPr>
      <w:r>
        <w:rPr/>
        <w:tab/>
        <w:t>Drew Fossum</w:t>
      </w:r>
    </w:p>
    <w:p>
      <w:pPr>
        <w:pStyle w:val="Normal"/>
        <w:rPr/>
      </w:pPr>
      <w:r>
        <w:rPr/>
        <w:tab/>
        <w:t>Steve Harris</w:t>
      </w:r>
    </w:p>
    <w:p>
      <w:pPr>
        <w:pStyle w:val="Normal"/>
        <w:rPr/>
      </w:pPr>
      <w:r>
        <w:rPr/>
        <w:tab/>
        <w:t>Lorraine Lindberg</w:t>
      </w:r>
    </w:p>
    <w:p>
      <w:pPr>
        <w:pStyle w:val="Normal"/>
        <w:rPr/>
      </w:pPr>
      <w:r>
        <w:rPr/>
        <w:tab/>
        <w:t>Susan Scott</w:t>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179-3176-E(1/94)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179-3176-E(1/94)</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4">
              <wp:simplePos x="0" y="0"/>
              <wp:positionH relativeFrom="page">
                <wp:posOffset>2523490</wp:posOffset>
              </wp:positionH>
              <wp:positionV relativeFrom="paragraph">
                <wp:posOffset>635</wp:posOffset>
              </wp:positionV>
              <wp:extent cx="3877310" cy="658495"/>
              <wp:effectExtent l="0" t="0" r="0" b="0"/>
              <wp:wrapSquare wrapText="bothSides"/>
              <wp:docPr id="4"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Etsmemo.dot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2000-03-23T12:27:00Z</dcterms:created>
  <dc:creator>Kevin Hyatt</dc:creator>
  <dc:description/>
  <dc:language>en-CA</dc:language>
  <cp:lastModifiedBy>Kevin Hyatt</cp:lastModifiedBy>
  <cp:lastPrinted>2000-03-23T09:26:00Z</cp:lastPrinted>
  <dcterms:modified xsi:type="dcterms:W3CDTF">2000-03-23T12:56:00Z</dcterms:modified>
  <cp:revision>4</cp:revision>
  <dc:subject/>
  <dc:title>Better, Faster, Simpler Memo using the NNG Header</dc:title>
</cp:coreProperties>
</file>