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Progress Report – EOL Pricing Algorithm</w:t>
      </w:r>
    </w:p>
    <w:p>
      <w:pPr>
        <w:pStyle w:val="Normal"/>
        <w:rPr>
          <w:b/>
          <w:sz w:val="24"/>
        </w:rPr>
      </w:pPr>
      <w:r>
        <w:rPr>
          <w:b/>
          <w:sz w:val="24"/>
        </w:rPr>
      </w:r>
    </w:p>
    <w:p>
      <w:pPr>
        <w:pStyle w:val="Heading2"/>
        <w:ind w:hanging="0" w:start="0"/>
        <w:rPr/>
      </w:pPr>
      <w:r>
        <w:rPr/>
        <w:t>Summary</w:t>
      </w:r>
    </w:p>
    <w:p>
      <w:pPr>
        <w:pStyle w:val="Normal"/>
        <w:rPr>
          <w:sz w:val="24"/>
        </w:rPr>
      </w:pPr>
      <w:r>
        <w:rPr>
          <w:sz w:val="24"/>
        </w:rPr>
      </w:r>
    </w:p>
    <w:p>
      <w:pPr>
        <w:pStyle w:val="Normal"/>
        <w:rPr/>
      </w:pPr>
      <w:r>
        <w:rPr>
          <w:sz w:val="24"/>
        </w:rPr>
        <w:t>From review of the literature on the bid-ask spread under various market conditions and the results of our testing of the options model</w:t>
      </w:r>
      <w:r>
        <w:rPr>
          <w:rStyle w:val="FootnoteCharacters"/>
          <w:rStyle w:val="FootnoteReference"/>
          <w:sz w:val="24"/>
        </w:rPr>
        <w:footnoteReference w:id="2"/>
      </w:r>
      <w:r>
        <w:rPr>
          <w:sz w:val="24"/>
        </w:rPr>
        <w:t>, the spread depends on:</w:t>
      </w:r>
    </w:p>
    <w:p>
      <w:pPr>
        <w:pStyle w:val="Normal"/>
        <w:rPr>
          <w:sz w:val="24"/>
        </w:rPr>
      </w:pPr>
      <w:r>
        <w:rPr>
          <w:sz w:val="24"/>
        </w:rPr>
      </w:r>
    </w:p>
    <w:p>
      <w:pPr>
        <w:pStyle w:val="Normal"/>
        <w:numPr>
          <w:ilvl w:val="0"/>
          <w:numId w:val="2"/>
        </w:numPr>
        <w:rPr>
          <w:sz w:val="24"/>
        </w:rPr>
      </w:pPr>
      <w:r>
        <w:rPr>
          <w:sz w:val="24"/>
        </w:rPr>
        <w:t>order arrival rate</w:t>
      </w:r>
    </w:p>
    <w:p>
      <w:pPr>
        <w:pStyle w:val="Normal"/>
        <w:numPr>
          <w:ilvl w:val="0"/>
          <w:numId w:val="2"/>
        </w:numPr>
        <w:rPr>
          <w:sz w:val="24"/>
        </w:rPr>
      </w:pPr>
      <w:r>
        <w:rPr>
          <w:sz w:val="24"/>
        </w:rPr>
        <w:t>price volatility</w:t>
      </w:r>
    </w:p>
    <w:p>
      <w:pPr>
        <w:pStyle w:val="Normal"/>
        <w:numPr>
          <w:ilvl w:val="0"/>
          <w:numId w:val="2"/>
        </w:numPr>
        <w:rPr>
          <w:sz w:val="24"/>
        </w:rPr>
      </w:pPr>
      <w:r>
        <w:rPr>
          <w:sz w:val="24"/>
        </w:rPr>
        <w:t>market maker cumulative inventory</w:t>
      </w:r>
    </w:p>
    <w:p>
      <w:pPr>
        <w:pStyle w:val="Normal"/>
        <w:numPr>
          <w:ilvl w:val="0"/>
          <w:numId w:val="2"/>
        </w:numPr>
        <w:rPr>
          <w:sz w:val="24"/>
        </w:rPr>
      </w:pPr>
      <w:r>
        <w:rPr>
          <w:sz w:val="24"/>
        </w:rPr>
        <w:t>presence of informed (vs uninformed) trader, i.e., has knowledge or a view on the true asset price at time of trade.</w:t>
      </w:r>
    </w:p>
    <w:p>
      <w:pPr>
        <w:pStyle w:val="Normal"/>
        <w:rPr>
          <w:sz w:val="24"/>
        </w:rPr>
      </w:pPr>
      <w:r>
        <w:rPr>
          <w:sz w:val="24"/>
        </w:rPr>
      </w:r>
    </w:p>
    <w:p>
      <w:pPr>
        <w:pStyle w:val="Normal"/>
        <w:rPr>
          <w:sz w:val="24"/>
        </w:rPr>
      </w:pPr>
      <w:r>
        <w:rPr>
          <w:sz w:val="24"/>
        </w:rPr>
        <w:t>The spread is least sensitive to cumulative inventory in the model being tested.  We are inferring the presence of informed traders from the order arrival rates.  We can also use trader identity to infer a probability of whether a trade is informed or not, but have not tested this yet.</w:t>
      </w:r>
    </w:p>
    <w:p>
      <w:pPr>
        <w:pStyle w:val="Normal"/>
        <w:rPr>
          <w:sz w:val="24"/>
        </w:rPr>
      </w:pPr>
      <w:r>
        <w:rPr>
          <w:sz w:val="24"/>
        </w:rPr>
      </w:r>
    </w:p>
    <w:p>
      <w:pPr>
        <w:pStyle w:val="Normal"/>
        <w:rPr>
          <w:sz w:val="24"/>
        </w:rPr>
      </w:pPr>
      <w:r>
        <w:rPr>
          <w:sz w:val="24"/>
        </w:rPr>
        <w:t xml:space="preserve">The current effort is focused on evaluating how we can best use information available only from EOL order flow; direct use of current price information from other markets (e.g., Nymex) is not being considered at this time.  </w:t>
      </w:r>
    </w:p>
    <w:p>
      <w:pPr>
        <w:pStyle w:val="Normal"/>
        <w:rPr>
          <w:sz w:val="24"/>
        </w:rPr>
      </w:pPr>
      <w:r>
        <w:rPr>
          <w:sz w:val="24"/>
        </w:rPr>
      </w:r>
    </w:p>
    <w:p>
      <w:pPr>
        <w:pStyle w:val="Normal"/>
        <w:rPr>
          <w:sz w:val="24"/>
        </w:rPr>
      </w:pPr>
      <w:r>
        <w:rPr>
          <w:sz w:val="24"/>
        </w:rPr>
        <w:t>The price move (which defines the round trip profit to Enron) should be set separately from the model used to determine the spread.  The current work is aimed at evaluating the feasibility of setting a dynamic spread using the options model to cover all of the components listed above.</w:t>
      </w:r>
    </w:p>
    <w:p>
      <w:pPr>
        <w:pStyle w:val="Normal"/>
        <w:rPr>
          <w:sz w:val="24"/>
        </w:rPr>
      </w:pPr>
      <w:r>
        <w:rPr>
          <w:sz w:val="24"/>
        </w:rPr>
      </w:r>
    </w:p>
    <w:p>
      <w:pPr>
        <w:pStyle w:val="Heading2"/>
        <w:ind w:hanging="0" w:start="0"/>
        <w:rPr/>
      </w:pPr>
      <w:r>
        <w:rPr/>
        <w:t xml:space="preserve">Discussion </w:t>
      </w:r>
    </w:p>
    <w:p>
      <w:pPr>
        <w:pStyle w:val="Normal"/>
        <w:rPr/>
      </w:pPr>
      <w:r>
        <w:rPr/>
      </w:r>
    </w:p>
    <w:p>
      <w:pPr>
        <w:pStyle w:val="Normal"/>
        <w:rPr/>
      </w:pPr>
      <w:r>
        <w:rPr>
          <w:sz w:val="24"/>
        </w:rPr>
        <w:t>The Lu approach has similarities to results reported by Copeland-Galai</w:t>
      </w:r>
      <w:r>
        <w:rPr>
          <w:rStyle w:val="FootnoteCharacters"/>
          <w:rStyle w:val="FootnoteReference"/>
          <w:sz w:val="24"/>
        </w:rPr>
        <w:footnoteReference w:id="3"/>
      </w:r>
      <w:r>
        <w:rPr>
          <w:sz w:val="24"/>
        </w:rPr>
        <w:t xml:space="preserve"> in that both model the bid and ask prices as options offered by the market maker to the traders.  Copeland-Galai consider out-of-the-money options, which does not provide a tractable solution for the bid and ask prices.  The Lu model, on the other hand, treats the options as at-the-money, which results in an analytic expression for the bid ask prices.  The Lu model also includes a term for dealer inventory (this is a small contribution unless the long or short dealer position is very large).</w:t>
      </w:r>
    </w:p>
    <w:p>
      <w:pPr>
        <w:pStyle w:val="Normal"/>
        <w:rPr>
          <w:sz w:val="24"/>
        </w:rPr>
      </w:pPr>
      <w:r>
        <w:rPr>
          <w:sz w:val="24"/>
        </w:rPr>
      </w:r>
    </w:p>
    <w:p>
      <w:pPr>
        <w:pStyle w:val="Normal"/>
        <w:rPr/>
      </w:pPr>
      <w:r>
        <w:rPr>
          <w:sz w:val="24"/>
        </w:rPr>
        <w:t>Neither of these models explicitly recognizes that the trades themselves can reveal information about the true asset value and, therefore, affect the behavior of prices.  The information content of the trades is captured in a second model by Glosten and Milgrom</w:t>
      </w:r>
      <w:r>
        <w:rPr>
          <w:rStyle w:val="FootnoteCharacters"/>
          <w:rStyle w:val="FootnoteReference"/>
          <w:sz w:val="24"/>
        </w:rPr>
        <w:footnoteReference w:id="4"/>
      </w:r>
      <w:r>
        <w:rPr>
          <w:sz w:val="24"/>
        </w:rPr>
        <w:t>, which is built on a Bayesian learning approach.  Their model is extended by Easley and O'Hara</w:t>
      </w:r>
      <w:r>
        <w:rPr>
          <w:rStyle w:val="FootnoteCharacters"/>
          <w:rStyle w:val="FootnoteReference"/>
          <w:sz w:val="24"/>
        </w:rPr>
        <w:footnoteReference w:id="5"/>
      </w:r>
      <w:r>
        <w:rPr>
          <w:sz w:val="24"/>
        </w:rPr>
        <w:t xml:space="preserve"> to include trade size and whether new information is present or not.  The applicability of this learning approach to the EOL situation will be evaluted.</w:t>
      </w:r>
    </w:p>
    <w:p>
      <w:pPr>
        <w:pStyle w:val="Normal"/>
        <w:rPr>
          <w:sz w:val="24"/>
        </w:rPr>
      </w:pPr>
      <w:r>
        <w:rPr>
          <w:sz w:val="24"/>
        </w:rPr>
      </w:r>
    </w:p>
    <w:p>
      <w:pPr>
        <w:pStyle w:val="Normal"/>
        <w:rPr>
          <w:sz w:val="24"/>
        </w:rPr>
      </w:pPr>
      <w:r>
        <w:rPr>
          <w:sz w:val="24"/>
        </w:rPr>
        <w:t>All of the above models are based on sequential trades with a fixed maximum size.  This feature mirrors the EOL trading protocol and makes their results applicable to our situation.  We can have high confidence that the parameters we are considering will extract the maximum information about price movement available from the order flow alone.</w:t>
      </w:r>
    </w:p>
    <w:p>
      <w:pPr>
        <w:pStyle w:val="Normal"/>
        <w:rPr>
          <w:sz w:val="24"/>
        </w:rPr>
      </w:pPr>
      <w:r>
        <w:rPr>
          <w:sz w:val="24"/>
        </w:rPr>
      </w:r>
    </w:p>
    <w:p>
      <w:pPr>
        <w:pStyle w:val="Heading1"/>
        <w:ind w:hanging="0" w:start="0"/>
        <w:rPr>
          <w:b/>
          <w:bCs/>
        </w:rPr>
      </w:pPr>
      <w:r>
        <w:rPr>
          <w:b/>
          <w:bCs/>
        </w:rPr>
        <w:t>The Model</w:t>
      </w:r>
    </w:p>
    <w:p>
      <w:pPr>
        <w:pStyle w:val="Normal"/>
        <w:rPr>
          <w:b/>
          <w:bCs/>
        </w:rPr>
      </w:pPr>
      <w:r>
        <w:rPr>
          <w:b/>
          <w:bCs/>
        </w:rPr>
      </w:r>
    </w:p>
    <w:p>
      <w:pPr>
        <w:pStyle w:val="Normal"/>
        <w:rPr>
          <w:sz w:val="24"/>
        </w:rPr>
      </w:pPr>
      <w:r>
        <w:rPr>
          <w:sz w:val="24"/>
        </w:rPr>
        <w:t>The LU model results in the following formulas for the bid-ask spread:</w:t>
      </w:r>
    </w:p>
    <w:p>
      <w:pPr>
        <w:pStyle w:val="Normal"/>
        <w:rPr>
          <w:sz w:val="24"/>
        </w:rPr>
      </w:pPr>
      <w:r>
        <w:rPr>
          <w:sz w:val="24"/>
        </w:rPr>
      </w:r>
    </w:p>
    <w:p>
      <w:pPr>
        <w:pStyle w:val="Normal"/>
        <w:rPr/>
      </w:pPr>
      <w:r>
        <w:rPr/>
        <w:tab/>
      </w:r>
      <w:r>
        <w:rPr/>
      </w:r>
      <m:oMath xmlns:m="http://schemas.openxmlformats.org/officeDocument/2006/math">
        <m:sSub>
          <m:e>
            <m:r>
              <m:t xml:space="preserve">a</m:t>
            </m:r>
          </m:e>
          <m:sub>
            <m:r>
              <m:t xml:space="preserve">n</m:t>
            </m:r>
          </m:sub>
        </m:sSub>
        <m:r>
          <m:t xml:space="preserve">=</m:t>
        </m:r>
        <m:f>
          <m:num>
            <m:sSub>
              <m:e>
                <m:r>
                  <m:t xml:space="preserve">P</m:t>
                </m:r>
              </m:e>
              <m:sub>
                <m:r>
                  <m:t xml:space="preserve">n</m:t>
                </m:r>
              </m:sub>
            </m:sSub>
          </m:num>
          <m:den>
            <m:r>
              <m:t xml:space="preserve">1</m:t>
            </m:r>
            <m:r>
              <m:t xml:space="preserve">−</m:t>
            </m:r>
            <m:sSubSup>
              <m:e>
                <m:r>
                  <m:t xml:space="preserve">β</m:t>
                </m:r>
              </m:e>
              <m:sub>
                <m:r>
                  <m:t xml:space="preserve">n</m:t>
                </m:r>
              </m:sub>
              <m:sup>
                <m:r>
                  <m:t xml:space="preserve">a</m:t>
                </m:r>
              </m:sup>
            </m:sSubSup>
          </m:den>
        </m:f>
        <m:r>
          <m:t xml:space="preserve">+</m:t>
        </m:r>
        <m:f>
          <m:num>
            <m:sSubSup>
              <m:e>
                <m:r>
                  <m:t xml:space="preserve">α</m:t>
                </m:r>
              </m:e>
              <m:sub>
                <m:r>
                  <m:t xml:space="preserve">n</m:t>
                </m:r>
              </m:sub>
              <m:sup>
                <m:r>
                  <m:t xml:space="preserve">a</m:t>
                </m:r>
              </m:sup>
            </m:sSubSup>
          </m:num>
          <m:den>
            <m:r>
              <m:t xml:space="preserve">1</m:t>
            </m:r>
            <m:r>
              <m:t xml:space="preserve">−</m:t>
            </m:r>
            <m:sSubSup>
              <m:e>
                <m:r>
                  <m:t xml:space="preserve">β</m:t>
                </m:r>
              </m:e>
              <m:sub>
                <m:r>
                  <m:t xml:space="preserve">n</m:t>
                </m:r>
              </m:sub>
              <m:sup>
                <m:r>
                  <m:t xml:space="preserve">a</m:t>
                </m:r>
              </m:sup>
            </m:sSubSup>
          </m:den>
        </m:f>
        <m:f>
          <m:num>
            <m:r>
              <m:t xml:space="preserve">(</m:t>
            </m:r>
            <m:sSub>
              <m:e>
                <m:r>
                  <m:rPr>
                    <m:lit/>
                    <m:nor/>
                  </m:rPr>
                  <m:t xml:space="preserve">MTM</m:t>
                </m:r>
              </m:e>
              <m:sub>
                <m:r>
                  <m:t xml:space="preserve">n</m:t>
                </m:r>
              </m:sub>
            </m:sSub>
            <m:r>
              <m:t xml:space="preserve">+</m:t>
            </m:r>
            <m:r>
              <m:t xml:space="preserve">F</m:t>
            </m:r>
            <m:r>
              <m:t xml:space="preserve">)</m:t>
            </m:r>
          </m:num>
          <m:den>
            <m:r>
              <m:t xml:space="preserve">V</m:t>
            </m:r>
          </m:den>
        </m:f>
        <m:sSubSup>
          <m:e>
            <m:r>
              <m:t xml:space="preserve">Δt</m:t>
            </m:r>
          </m:e>
          <m:sub>
            <m:r>
              <m:t xml:space="preserve">n</m:t>
            </m:r>
          </m:sub>
          <m:sup>
            <m:r>
              <m:t xml:space="preserve">a</m:t>
            </m:r>
          </m:sup>
        </m:sSubSup>
      </m:oMath>
    </w:p>
    <w:p>
      <w:pPr>
        <w:pStyle w:val="Normal"/>
        <w:rPr/>
      </w:pPr>
      <w:r>
        <w:rPr/>
      </w:r>
    </w:p>
    <w:p>
      <w:pPr>
        <w:pStyle w:val="Normal"/>
        <w:rPr/>
      </w:pPr>
      <w:r>
        <w:rPr/>
        <w:tab/>
      </w:r>
      <w:r>
        <w:rPr/>
      </w:r>
      <m:oMath xmlns:m="http://schemas.openxmlformats.org/officeDocument/2006/math">
        <m:sSub>
          <m:e>
            <m:r>
              <m:t xml:space="preserve">b</m:t>
            </m:r>
          </m:e>
          <m:sub>
            <m:r>
              <m:t xml:space="preserve">n</m:t>
            </m:r>
          </m:sub>
        </m:sSub>
        <m:r>
          <m:t xml:space="preserve">=</m:t>
        </m:r>
        <m:f>
          <m:num>
            <m:sSub>
              <m:e>
                <m:r>
                  <m:t xml:space="preserve">P</m:t>
                </m:r>
              </m:e>
              <m:sub>
                <m:r>
                  <m:t xml:space="preserve">n</m:t>
                </m:r>
              </m:sub>
            </m:sSub>
          </m:num>
          <m:den>
            <m:r>
              <m:t xml:space="preserve">1</m:t>
            </m:r>
            <m:r>
              <m:t xml:space="preserve">+</m:t>
            </m:r>
            <m:sSubSup>
              <m:e>
                <m:r>
                  <m:t xml:space="preserve">β</m:t>
                </m:r>
              </m:e>
              <m:sub>
                <m:r>
                  <m:t xml:space="preserve">n</m:t>
                </m:r>
              </m:sub>
              <m:sup>
                <m:r>
                  <m:t xml:space="preserve">b</m:t>
                </m:r>
              </m:sup>
            </m:sSubSup>
          </m:den>
        </m:f>
        <m:r>
          <m:t xml:space="preserve">−</m:t>
        </m:r>
        <m:f>
          <m:num>
            <m:sSubSup>
              <m:e>
                <m:r>
                  <m:t xml:space="preserve">α</m:t>
                </m:r>
              </m:e>
              <m:sub>
                <m:r>
                  <m:t xml:space="preserve">n</m:t>
                </m:r>
              </m:sub>
              <m:sup>
                <m:r>
                  <m:t xml:space="preserve">b</m:t>
                </m:r>
              </m:sup>
            </m:sSubSup>
          </m:num>
          <m:den>
            <m:r>
              <m:t xml:space="preserve">1</m:t>
            </m:r>
            <m:r>
              <m:t xml:space="preserve">+</m:t>
            </m:r>
            <m:sSubSup>
              <m:e>
                <m:r>
                  <m:t xml:space="preserve">β</m:t>
                </m:r>
              </m:e>
              <m:sub>
                <m:r>
                  <m:t xml:space="preserve">n</m:t>
                </m:r>
              </m:sub>
              <m:sup>
                <m:r>
                  <m:t xml:space="preserve">b</m:t>
                </m:r>
              </m:sup>
            </m:sSubSup>
          </m:den>
        </m:f>
        <m:f>
          <m:num>
            <m:r>
              <m:t xml:space="preserve">(</m:t>
            </m:r>
            <m:sSub>
              <m:e>
                <m:r>
                  <m:rPr>
                    <m:lit/>
                    <m:nor/>
                  </m:rPr>
                  <m:t xml:space="preserve">MTM</m:t>
                </m:r>
              </m:e>
              <m:sub>
                <m:r>
                  <m:t xml:space="preserve">n</m:t>
                </m:r>
              </m:sub>
            </m:sSub>
            <m:r>
              <m:t xml:space="preserve">+</m:t>
            </m:r>
            <m:r>
              <m:t xml:space="preserve">F</m:t>
            </m:r>
            <m:r>
              <m:t xml:space="preserve">)</m:t>
            </m:r>
          </m:num>
          <m:den>
            <m:r>
              <m:t xml:space="preserve">V</m:t>
            </m:r>
          </m:den>
        </m:f>
        <m:sSubSup>
          <m:e>
            <m:r>
              <m:t xml:space="preserve">Δt</m:t>
            </m:r>
          </m:e>
          <m:sub>
            <m:r>
              <m:t xml:space="preserve">n</m:t>
            </m:r>
          </m:sub>
          <m:sup>
            <m:r>
              <m:t xml:space="preserve">b</m:t>
            </m:r>
          </m:sup>
        </m:sSubSup>
      </m:oMath>
    </w:p>
    <w:p>
      <w:pPr>
        <w:pStyle w:val="Normal"/>
        <w:rPr/>
      </w:pPr>
      <w:r>
        <w:rPr/>
      </w:r>
    </w:p>
    <w:p>
      <w:pPr>
        <w:pStyle w:val="Normal"/>
        <w:rPr/>
      </w:pPr>
      <w:r>
        <w:rPr/>
        <w:tab/>
        <w:tab/>
      </w:r>
      <w:r>
        <w:rPr/>
      </w:r>
      <m:oMath xmlns:m="http://schemas.openxmlformats.org/officeDocument/2006/math">
        <m:sSubSup>
          <m:e>
            <m:r>
              <m:t xml:space="preserve">α</m:t>
            </m:r>
          </m:e>
          <m:sub>
            <m:r>
              <m:t xml:space="preserve">n</m:t>
            </m:r>
          </m:sub>
          <m:sup>
            <m:r>
              <m:t xml:space="preserve">a</m:t>
            </m:r>
            <m:r>
              <m:t xml:space="preserve">,</m:t>
            </m:r>
            <m:r>
              <m:t xml:space="preserve">b</m:t>
            </m:r>
          </m:sup>
        </m:sSubSup>
        <m:r>
          <m:t xml:space="preserve">=</m:t>
        </m:r>
        <m:sSup>
          <m:e>
            <m:d>
              <m:dPr>
                <m:begChr m:val="("/>
                <m:endChr m:val=")"/>
              </m:dPr>
              <m:e>
                <m:r>
                  <m:t xml:space="preserve">1</m:t>
                </m:r>
                <m:r>
                  <m:t xml:space="preserve">−</m:t>
                </m:r>
                <m:sSup>
                  <m:e>
                    <m:r>
                      <m:t xml:space="preserve">e</m:t>
                    </m:r>
                  </m:e>
                  <m:sup>
                    <m:r>
                      <m:t xml:space="preserve">−</m:t>
                    </m:r>
                    <m:sSubSup>
                      <m:e>
                        <m:r>
                          <m:t xml:space="preserve">rΔt</m:t>
                        </m:r>
                      </m:e>
                      <m:sub>
                        <m:r>
                          <m:t xml:space="preserve">n</m:t>
                        </m:r>
                      </m:sub>
                      <m:sup>
                        <m:r>
                          <m:t xml:space="preserve">a</m:t>
                        </m:r>
                        <m:r>
                          <m:t xml:space="preserve">,</m:t>
                        </m:r>
                        <m:r>
                          <m:t xml:space="preserve">b</m:t>
                        </m:r>
                      </m:sup>
                    </m:sSubSup>
                  </m:sup>
                </m:sSup>
                <m:f>
                  <m:num>
                    <m:r>
                      <m:t xml:space="preserve">|</m:t>
                    </m:r>
                    <m:sSub>
                      <m:e>
                        <m:r>
                          <m:t xml:space="preserve">I</m:t>
                        </m:r>
                      </m:e>
                      <m:sub>
                        <m:r>
                          <m:t xml:space="preserve">n</m:t>
                        </m:r>
                      </m:sub>
                    </m:sSub>
                    <m:r>
                      <m:t xml:space="preserve">|</m:t>
                    </m:r>
                  </m:num>
                  <m:den>
                    <m:r>
                      <m:t xml:space="preserve">V</m:t>
                    </m:r>
                  </m:den>
                </m:f>
                <m:sSubSup>
                  <m:e>
                    <m:r>
                      <m:t xml:space="preserve">kΔt</m:t>
                    </m:r>
                  </m:e>
                  <m:sub>
                    <m:r>
                      <m:t xml:space="preserve">n</m:t>
                    </m:r>
                  </m:sub>
                  <m:sup>
                    <m:r>
                      <m:t xml:space="preserve">a</m:t>
                    </m:r>
                    <m:r>
                      <m:t xml:space="preserve">,</m:t>
                    </m:r>
                    <m:r>
                      <m:t xml:space="preserve">b</m:t>
                    </m:r>
                  </m:sup>
                </m:sSubSup>
              </m:e>
            </m:d>
          </m:e>
          <m:sup>
            <m:r>
              <m:t xml:space="preserve">−</m:t>
            </m:r>
            <m:r>
              <m:t xml:space="preserve">1</m:t>
            </m:r>
          </m:sup>
        </m:sSup>
      </m:oMath>
    </w:p>
    <w:p>
      <w:pPr>
        <w:pStyle w:val="Normal"/>
        <w:rPr/>
      </w:pPr>
      <w:r>
        <w:rPr/>
      </w:r>
    </w:p>
    <w:p>
      <w:pPr>
        <w:pStyle w:val="Normal"/>
        <w:rPr/>
      </w:pPr>
      <w:r>
        <w:rPr/>
        <w:tab/>
        <w:tab/>
      </w:r>
      <w:r>
        <w:rPr/>
      </w:r>
      <m:oMath xmlns:m="http://schemas.openxmlformats.org/officeDocument/2006/math">
        <m:sSubSup>
          <m:e>
            <m:r>
              <m:t xml:space="preserve">β</m:t>
            </m:r>
          </m:e>
          <m:sub>
            <m:r>
              <m:t xml:space="preserve">n</m:t>
            </m:r>
          </m:sub>
          <m:sup>
            <m:r>
              <m:t xml:space="preserve">a</m:t>
            </m:r>
          </m:sup>
        </m:sSubSup>
        <m:r>
          <m:t xml:space="preserve">=</m:t>
        </m:r>
        <m:sSubSup>
          <m:e>
            <m:r>
              <m:t xml:space="preserve">α</m:t>
            </m:r>
          </m:e>
          <m:sub>
            <m:r>
              <m:t xml:space="preserve">n</m:t>
            </m:r>
          </m:sub>
          <m:sup>
            <m:r>
              <m:t xml:space="preserve">a</m:t>
            </m:r>
          </m:sup>
        </m:sSubSup>
        <m:sSup>
          <m:e>
            <m:r>
              <m:t xml:space="preserve">e</m:t>
            </m:r>
          </m:e>
          <m:sup>
            <m:r>
              <m:t xml:space="preserve">−</m:t>
            </m:r>
            <m:sSubSup>
              <m:e>
                <m:r>
                  <m:t xml:space="preserve">rΔt</m:t>
                </m:r>
              </m:e>
              <m:sub>
                <m:r>
                  <m:t xml:space="preserve">n</m:t>
                </m:r>
              </m:sub>
              <m:sup>
                <m:r>
                  <m:t xml:space="preserve">a</m:t>
                </m:r>
              </m:sup>
            </m:sSubSup>
          </m:sup>
        </m:sSup>
        <m:d>
          <m:dPr>
            <m:begChr m:val="("/>
            <m:endChr m:val=")"/>
          </m:dPr>
          <m:e>
            <m:r>
              <m:t xml:space="preserve">N</m:t>
            </m:r>
            <m:r>
              <m:t xml:space="preserve">(</m:t>
            </m:r>
            <m:sSubSup>
              <m:e>
                <m:r>
                  <m:t xml:space="preserve">d</m:t>
                </m:r>
              </m:e>
              <m:sub>
                <m:r>
                  <m:t xml:space="preserve">1</m:t>
                </m:r>
              </m:sub>
              <m:sup>
                <m:r>
                  <m:t xml:space="preserve">a</m:t>
                </m:r>
              </m:sup>
            </m:sSubSup>
            <m:r>
              <m:t xml:space="preserve">)</m:t>
            </m:r>
            <m:r>
              <m:t xml:space="preserve">−</m:t>
            </m:r>
            <m:r>
              <m:t xml:space="preserve">N</m:t>
            </m:r>
            <m:r>
              <m:t xml:space="preserve">(</m:t>
            </m:r>
            <m:sSubSup>
              <m:e>
                <m:r>
                  <m:t xml:space="preserve">d</m:t>
                </m:r>
              </m:e>
              <m:sub>
                <m:r>
                  <m:t xml:space="preserve">2</m:t>
                </m:r>
              </m:sub>
              <m:sup>
                <m:r>
                  <m:t xml:space="preserve">a</m:t>
                </m:r>
              </m:sup>
            </m:sSubSup>
            <m:r>
              <m:t xml:space="preserve">)</m:t>
            </m:r>
          </m:e>
        </m:d>
      </m:oMath>
    </w:p>
    <w:p>
      <w:pPr>
        <w:pStyle w:val="Normal"/>
        <w:rPr/>
      </w:pPr>
      <w:r>
        <w:rPr/>
      </w:r>
    </w:p>
    <w:p>
      <w:pPr>
        <w:pStyle w:val="Normal"/>
        <w:rPr/>
      </w:pPr>
      <w:r>
        <w:rPr/>
      </w:r>
    </w:p>
    <w:p>
      <w:pPr>
        <w:pStyle w:val="Normal"/>
        <w:rPr/>
      </w:pPr>
      <w:r>
        <w:rPr/>
        <w:tab/>
        <w:tab/>
      </w:r>
      <w:r>
        <w:rPr/>
      </w:r>
      <m:oMath xmlns:m="http://schemas.openxmlformats.org/officeDocument/2006/math">
        <m:sSubSup>
          <m:e>
            <m:r>
              <m:t xml:space="preserve">β</m:t>
            </m:r>
          </m:e>
          <m:sub>
            <m:r>
              <m:t xml:space="preserve">n</m:t>
            </m:r>
          </m:sub>
          <m:sup>
            <m:r>
              <m:t xml:space="preserve">b</m:t>
            </m:r>
          </m:sup>
        </m:sSubSup>
        <m:r>
          <m:t xml:space="preserve">=</m:t>
        </m:r>
        <m:sSubSup>
          <m:e>
            <m:r>
              <m:t xml:space="preserve">α</m:t>
            </m:r>
          </m:e>
          <m:sub>
            <m:r>
              <m:t xml:space="preserve">n</m:t>
            </m:r>
          </m:sub>
          <m:sup>
            <m:r>
              <m:t xml:space="preserve">b</m:t>
            </m:r>
          </m:sup>
        </m:sSubSup>
        <m:sSup>
          <m:e>
            <m:r>
              <m:t xml:space="preserve">e</m:t>
            </m:r>
          </m:e>
          <m:sup>
            <m:r>
              <m:t xml:space="preserve">−</m:t>
            </m:r>
            <m:sSubSup>
              <m:e>
                <m:r>
                  <m:t xml:space="preserve">rΔt</m:t>
                </m:r>
              </m:e>
              <m:sub>
                <m:r>
                  <m:t xml:space="preserve">n</m:t>
                </m:r>
              </m:sub>
              <m:sup>
                <m:r>
                  <m:t xml:space="preserve">b</m:t>
                </m:r>
              </m:sup>
            </m:sSubSup>
          </m:sup>
        </m:sSup>
        <m:d>
          <m:dPr>
            <m:begChr m:val="("/>
            <m:endChr m:val=")"/>
          </m:dPr>
          <m:e>
            <m:r>
              <m:t xml:space="preserve">N</m:t>
            </m:r>
            <m:r>
              <m:t xml:space="preserve">(</m:t>
            </m:r>
            <m:r>
              <m:t xml:space="preserve">−</m:t>
            </m:r>
            <m:sSubSup>
              <m:e>
                <m:r>
                  <m:t xml:space="preserve">d</m:t>
                </m:r>
              </m:e>
              <m:sub>
                <m:r>
                  <m:t xml:space="preserve">2</m:t>
                </m:r>
              </m:sub>
              <m:sup>
                <m:r>
                  <m:t xml:space="preserve">b</m:t>
                </m:r>
              </m:sup>
            </m:sSubSup>
            <m:r>
              <m:t xml:space="preserve">)</m:t>
            </m:r>
            <m:r>
              <m:t xml:space="preserve">−</m:t>
            </m:r>
            <m:r>
              <m:t xml:space="preserve">N</m:t>
            </m:r>
            <m:r>
              <m:t xml:space="preserve">(</m:t>
            </m:r>
            <m:r>
              <m:t xml:space="preserve">−</m:t>
            </m:r>
            <m:sSubSup>
              <m:e>
                <m:r>
                  <m:t xml:space="preserve">d</m:t>
                </m:r>
              </m:e>
              <m:sub>
                <m:r>
                  <m:t xml:space="preserve">1</m:t>
                </m:r>
              </m:sub>
              <m:sup>
                <m:r>
                  <m:t xml:space="preserve">b</m:t>
                </m:r>
              </m:sup>
            </m:sSubSup>
            <m:r>
              <m:t xml:space="preserve">)</m:t>
            </m:r>
          </m:e>
        </m:d>
      </m:oMath>
    </w:p>
    <w:p>
      <w:pPr>
        <w:pStyle w:val="Normal"/>
        <w:rPr/>
      </w:pPr>
      <w:r>
        <w:rPr/>
      </w:r>
    </w:p>
    <w:p>
      <w:pPr>
        <w:pStyle w:val="Normal"/>
        <w:rPr/>
      </w:pPr>
      <w:r>
        <w:rPr/>
        <w:tab/>
        <w:tab/>
        <w:tab/>
      </w:r>
      <w:r>
        <w:rPr/>
      </w:r>
      <m:oMath xmlns:m="http://schemas.openxmlformats.org/officeDocument/2006/math">
        <m:sSubSup>
          <m:e>
            <m:r>
              <m:t xml:space="preserve">d</m:t>
            </m:r>
          </m:e>
          <m:sub>
            <m:r>
              <m:t xml:space="preserve">1</m:t>
            </m:r>
          </m:sub>
          <m:sup>
            <m:r>
              <m:t xml:space="preserve">a</m:t>
            </m:r>
            <m:r>
              <m:t xml:space="preserve">,</m:t>
            </m:r>
            <m:r>
              <m:t xml:space="preserve">b</m:t>
            </m:r>
          </m:sup>
        </m:sSubSup>
        <m:r>
          <m:t xml:space="preserve">=</m:t>
        </m:r>
        <m:r>
          <m:t xml:space="preserve">−</m:t>
        </m:r>
        <m:sSubSup>
          <m:e>
            <m:r>
              <m:t xml:space="preserve">d</m:t>
            </m:r>
          </m:e>
          <m:sub>
            <m:r>
              <m:t xml:space="preserve">2</m:t>
            </m:r>
          </m:sub>
          <m:sup>
            <m:r>
              <m:t xml:space="preserve">a</m:t>
            </m:r>
            <m:r>
              <m:t xml:space="preserve">,</m:t>
            </m:r>
            <m:r>
              <m:t xml:space="preserve">b</m:t>
            </m:r>
          </m:sup>
        </m:sSubSup>
        <m:r>
          <m:t xml:space="preserve">=</m:t>
        </m:r>
        <m:f>
          <m:num>
            <m:r>
              <m:t xml:space="preserve">1</m:t>
            </m:r>
          </m:num>
          <m:den>
            <m:r>
              <m:t xml:space="preserve">2</m:t>
            </m:r>
          </m:den>
        </m:f>
        <m:sSubSup>
          <m:e>
            <m:r>
              <m:t xml:space="preserve">σ</m:t>
            </m:r>
          </m:e>
          <m:sub>
            <m:r>
              <m:t xml:space="preserve">n</m:t>
            </m:r>
          </m:sub>
          <m:sup>
            <m:r>
              <m:t xml:space="preserve">a</m:t>
            </m:r>
            <m:r>
              <m:t xml:space="preserve">,</m:t>
            </m:r>
            <m:r>
              <m:t xml:space="preserve">b</m:t>
            </m:r>
          </m:sup>
        </m:sSubSup>
        <m:rad>
          <m:radPr>
            <m:degHide m:val="1"/>
          </m:radPr>
          <m:deg/>
          <m:e>
            <m:sSubSup>
              <m:e>
                <m:r>
                  <m:t xml:space="preserve">Δt</m:t>
                </m:r>
              </m:e>
              <m:sub>
                <m:r>
                  <m:t xml:space="preserve">n</m:t>
                </m:r>
              </m:sub>
              <m:sup>
                <m:r>
                  <m:t xml:space="preserve">a</m:t>
                </m:r>
                <m:r>
                  <m:t xml:space="preserve">,</m:t>
                </m:r>
                <m:r>
                  <m:t xml:space="preserve">b</m:t>
                </m:r>
              </m:sup>
            </m:sSubSup>
          </m:e>
        </m:rad>
      </m:oMath>
    </w:p>
    <w:p>
      <w:pPr>
        <w:pStyle w:val="Normal"/>
        <w:rPr/>
      </w:pPr>
      <w:r>
        <w:rPr/>
      </w:r>
    </w:p>
    <w:p>
      <w:pPr>
        <w:pStyle w:val="Normal"/>
        <w:rPr/>
      </w:pPr>
      <w:r>
        <w:rPr/>
      </w:r>
    </w:p>
    <w:p>
      <w:pPr>
        <w:pStyle w:val="Normal"/>
        <w:ind w:firstLine="720" w:end="0"/>
        <w:rPr>
          <w:sz w:val="24"/>
        </w:rPr>
      </w:pPr>
      <w:r>
        <w:rPr>
          <w:sz w:val="24"/>
        </w:rPr>
        <w:t>a is the new ask price</w:t>
      </w:r>
    </w:p>
    <w:p>
      <w:pPr>
        <w:pStyle w:val="Normal"/>
        <w:ind w:firstLine="720" w:end="0"/>
        <w:rPr>
          <w:sz w:val="24"/>
        </w:rPr>
      </w:pPr>
      <w:r>
        <w:rPr>
          <w:sz w:val="24"/>
        </w:rPr>
        <w:t>b is the new bid prices</w:t>
      </w:r>
    </w:p>
    <w:p>
      <w:pPr>
        <w:pStyle w:val="Normal"/>
        <w:ind w:firstLine="720" w:end="0"/>
        <w:rPr>
          <w:sz w:val="24"/>
        </w:rPr>
      </w:pPr>
      <w:r>
        <w:rPr>
          <w:sz w:val="24"/>
        </w:rPr>
        <w:t xml:space="preserve">P is the price of the last trade. </w:t>
      </w:r>
    </w:p>
    <w:p>
      <w:pPr>
        <w:pStyle w:val="Normal"/>
        <w:ind w:firstLine="720" w:end="0"/>
        <w:rPr>
          <w:sz w:val="24"/>
        </w:rPr>
      </w:pPr>
      <w:r>
        <w:rPr>
          <w:sz w:val="24"/>
        </w:rPr>
        <w:t>α is a function of inventory and arrival rate</w:t>
      </w:r>
    </w:p>
    <w:p>
      <w:pPr>
        <w:pStyle w:val="Normal"/>
        <w:ind w:firstLine="720" w:end="0"/>
        <w:rPr>
          <w:sz w:val="24"/>
        </w:rPr>
      </w:pPr>
      <w:r>
        <w:rPr>
          <w:sz w:val="24"/>
        </w:rPr>
        <w:t>β is a function of volatility and α</w:t>
      </w:r>
    </w:p>
    <w:p>
      <w:pPr>
        <w:pStyle w:val="Normal"/>
        <w:ind w:firstLine="720" w:end="0"/>
        <w:rPr>
          <w:sz w:val="24"/>
        </w:rPr>
      </w:pPr>
      <w:r>
        <w:rPr>
          <w:sz w:val="24"/>
        </w:rPr>
        <w:t xml:space="preserve">Δt represents the time between arrivals.  </w:t>
      </w:r>
    </w:p>
    <w:p>
      <w:pPr>
        <w:pStyle w:val="Normal"/>
        <w:ind w:firstLine="720" w:end="0"/>
        <w:rPr>
          <w:sz w:val="24"/>
        </w:rPr>
      </w:pPr>
      <w:r>
        <w:rPr>
          <w:sz w:val="24"/>
        </w:rPr>
        <w:t xml:space="preserve">MTM is the market value of accumulated inventory </w:t>
      </w:r>
    </w:p>
    <w:p>
      <w:pPr>
        <w:pStyle w:val="Normal"/>
        <w:ind w:firstLine="720" w:end="0"/>
        <w:rPr>
          <w:sz w:val="24"/>
        </w:rPr>
      </w:pPr>
      <w:r>
        <w:rPr>
          <w:sz w:val="24"/>
        </w:rPr>
        <w:t>F is annual fixed cost for this commodity ($10,000)</w:t>
      </w:r>
    </w:p>
    <w:p>
      <w:pPr>
        <w:pStyle w:val="Normal"/>
        <w:ind w:firstLine="720" w:end="0"/>
        <w:rPr/>
      </w:pPr>
      <w:r>
        <w:rPr>
          <w:sz w:val="24"/>
        </w:rPr>
        <w:t>V is the trade size.  (e.g., 25,000)</w:t>
      </w:r>
    </w:p>
    <w:p>
      <w:pPr>
        <w:pStyle w:val="Normal"/>
        <w:ind w:firstLine="720" w:end="0"/>
        <w:rPr>
          <w:sz w:val="24"/>
        </w:rPr>
      </w:pPr>
      <w:r>
        <w:rPr>
          <w:sz w:val="24"/>
        </w:rPr>
      </w:r>
    </w:p>
    <w:p>
      <w:pPr>
        <w:pStyle w:val="Normal"/>
        <w:rPr>
          <w:sz w:val="24"/>
        </w:rPr>
      </w:pPr>
      <w:r>
        <w:rPr>
          <w:sz w:val="24"/>
        </w:rPr>
        <w:t>The first term in the above expressions for bid and ask prices represents the value of the free option the market maker offers to traders by posting a guaranteed price.  The second term covers the fixed cost and inventory risk incurred by the market maker; this term will be small compared to the option value most of the time.   See Zimin Lu, “Options Approach to Setting EOL Bid/Offer Prices” for a complete description of these formulas.</w:t>
      </w:r>
    </w:p>
    <w:p>
      <w:pPr>
        <w:pStyle w:val="Heading2"/>
        <w:ind w:hanging="0" w:start="0"/>
        <w:rPr>
          <w:sz w:val="24"/>
        </w:rPr>
      </w:pPr>
      <w:r>
        <w:rPr>
          <w:sz w:val="24"/>
        </w:rPr>
      </w:r>
    </w:p>
    <w:p>
      <w:pPr>
        <w:pStyle w:val="Heading2"/>
        <w:ind w:hanging="0" w:start="0"/>
        <w:rPr/>
      </w:pPr>
      <w:r>
        <w:rPr/>
        <w:t>Intraday Volatility</w:t>
      </w:r>
    </w:p>
    <w:p>
      <w:pPr>
        <w:pStyle w:val="Normal"/>
        <w:rPr/>
      </w:pPr>
      <w:r>
        <w:rPr/>
      </w:r>
    </w:p>
    <w:p>
      <w:pPr>
        <w:pStyle w:val="Heading1"/>
        <w:ind w:hanging="0" w:start="0"/>
        <w:rPr/>
      </w:pPr>
      <w:r>
        <w:rPr/>
        <w:t xml:space="preserve">The intraday volatility is calculated (over a short time interval, say, 10 min.) from </w:t>
      </w:r>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sSup>
            <m:e>
              <m:r>
                <m:t xml:space="preserve">σ</m:t>
              </m:r>
            </m:e>
            <m:sup>
              <m:r>
                <m:t xml:space="preserve">2</m:t>
              </m:r>
            </m:sup>
          </m:sSup>
          <m:r>
            <m:t xml:space="preserve">=</m:t>
          </m:r>
          <m:r>
            <m:t xml:space="preserve">0</m:t>
          </m:r>
          <m:r>
            <m:rPr>
              <m:lit/>
              <m:nor/>
            </m:rPr>
            <m:t xml:space="preserve">.</m:t>
          </m:r>
          <m:r>
            <m:t xml:space="preserve">5</m:t>
          </m:r>
          <m:sSup>
            <m:e>
              <m:d>
                <m:dPr>
                  <m:begChr m:val="["/>
                  <m:endChr m:val="]"/>
                </m:dPr>
                <m:e>
                  <m:r>
                    <m:rPr>
                      <m:lit/>
                      <m:nor/>
                    </m:rPr>
                    <m:t xml:space="preserve">log</m:t>
                  </m:r>
                  <m:d>
                    <m:dPr>
                      <m:begChr m:val="("/>
                      <m:endChr m:val=")"/>
                    </m:dPr>
                    <m:e>
                      <m:f>
                        <m:num>
                          <m:sSub>
                            <m:e>
                              <m:r>
                                <m:t xml:space="preserve">h</m:t>
                              </m:r>
                            </m:e>
                            <m:sub>
                              <m:r>
                                <m:t xml:space="preserve">t</m:t>
                              </m:r>
                            </m:sub>
                          </m:sSub>
                        </m:num>
                        <m:den>
                          <m:sSub>
                            <m:e>
                              <m:r>
                                <m:t xml:space="preserve">l</m:t>
                              </m:r>
                            </m:e>
                            <m:sub>
                              <m:r>
                                <m:t xml:space="preserve">t</m:t>
                              </m:r>
                            </m:sub>
                          </m:sSub>
                        </m:den>
                      </m:f>
                    </m:e>
                  </m:d>
                </m:e>
              </m:d>
            </m:e>
            <m:sup>
              <m:r>
                <m:t xml:space="preserve">2</m:t>
              </m:r>
            </m:sup>
          </m:sSup>
          <m:r>
            <m:t xml:space="preserve">+</m:t>
          </m:r>
          <m:r>
            <m:t xml:space="preserve">0</m:t>
          </m:r>
          <m:r>
            <m:rPr>
              <m:lit/>
              <m:nor/>
            </m:rPr>
            <m:t xml:space="preserve">.</m:t>
          </m:r>
          <m:r>
            <m:rPr>
              <m:lit/>
              <m:nor/>
            </m:rPr>
            <m:t xml:space="preserve">39</m:t>
          </m:r>
          <m:sSup>
            <m:e>
              <m:d>
                <m:dPr>
                  <m:begChr m:val="["/>
                  <m:endChr m:val="]"/>
                </m:dPr>
                <m:e>
                  <m:r>
                    <m:rPr>
                      <m:lit/>
                      <m:nor/>
                    </m:rPr>
                    <m:t xml:space="preserve">log</m:t>
                  </m:r>
                  <m:d>
                    <m:dPr>
                      <m:begChr m:val="("/>
                      <m:endChr m:val=")"/>
                    </m:dPr>
                    <m:e>
                      <m:f>
                        <m:num>
                          <m:sSub>
                            <m:e>
                              <m:r>
                                <m:t xml:space="preserve">c</m:t>
                              </m:r>
                            </m:e>
                            <m:sub>
                              <m:r>
                                <m:t xml:space="preserve">t</m:t>
                              </m:r>
                            </m:sub>
                          </m:sSub>
                        </m:num>
                        <m:den>
                          <m:sSub>
                            <m:e>
                              <m:r>
                                <m:t xml:space="preserve">c</m:t>
                              </m:r>
                            </m:e>
                            <m:sub>
                              <m:r>
                                <m:t xml:space="preserve">t</m:t>
                              </m:r>
                              <m:r>
                                <m:t xml:space="preserve">−</m:t>
                              </m:r>
                              <m:r>
                                <m:t xml:space="preserve">1</m:t>
                              </m:r>
                            </m:sub>
                          </m:sSub>
                        </m:den>
                      </m:f>
                    </m:e>
                  </m:d>
                </m:e>
              </m:d>
            </m:e>
            <m:sup>
              <m:r>
                <m:t xml:space="preserve">2</m:t>
              </m:r>
            </m:sup>
          </m:sSup>
        </m:oMath>
      </m:oMathPara>
    </w:p>
    <w:p>
      <w:pPr>
        <w:pStyle w:val="Normal"/>
        <w:rPr>
          <w:sz w:val="24"/>
        </w:rPr>
      </w:pPr>
      <w:r>
        <w:rPr>
          <w:sz w:val="24"/>
        </w:rPr>
      </w:r>
    </w:p>
    <w:p>
      <w:pPr>
        <w:pStyle w:val="Normal"/>
        <w:rPr>
          <w:sz w:val="24"/>
        </w:rPr>
      </w:pPr>
      <w:r>
        <w:rPr>
          <w:sz w:val="24"/>
        </w:rPr>
        <w:t>where</w:t>
      </w:r>
    </w:p>
    <w:p>
      <w:pPr>
        <w:pStyle w:val="Normal"/>
        <w:rPr>
          <w:sz w:val="24"/>
        </w:rPr>
      </w:pPr>
      <w:r>
        <w:rPr>
          <w:sz w:val="24"/>
        </w:rPr>
      </w:r>
    </w:p>
    <w:p>
      <w:pPr>
        <w:pStyle w:val="Heading2"/>
        <w:ind w:hanging="0" w:start="0"/>
        <w:rPr/>
      </w:pPr>
      <w:r>
        <w:rPr/>
        <w:tab/>
      </w:r>
      <w:r>
        <w:rPr>
          <w:b w:val="false"/>
          <w:bCs/>
          <w:i/>
          <w:iCs/>
        </w:rPr>
        <w:t>h</w:t>
      </w:r>
      <w:r>
        <w:rPr>
          <w:rFonts w:cs="Times" w:ascii="Times" w:hAnsi="Times"/>
          <w:b w:val="false"/>
          <w:bCs/>
          <w:i/>
          <w:iCs/>
          <w:vertAlign w:val="subscript"/>
        </w:rPr>
        <w:t>t</w:t>
      </w:r>
      <w:r>
        <w:rPr>
          <w:b w:val="false"/>
          <w:bCs/>
        </w:rPr>
        <w:t xml:space="preserve">  is high price</w:t>
      </w:r>
    </w:p>
    <w:p>
      <w:pPr>
        <w:pStyle w:val="Normal"/>
        <w:rPr/>
      </w:pPr>
      <w:r>
        <w:rPr>
          <w:sz w:val="24"/>
        </w:rPr>
        <w:tab/>
      </w:r>
      <w:r>
        <w:rPr>
          <w:i/>
          <w:iCs/>
          <w:sz w:val="24"/>
        </w:rPr>
        <w:t>l</w:t>
      </w:r>
      <w:r>
        <w:rPr>
          <w:rFonts w:cs="Times" w:ascii="Times" w:hAnsi="Times"/>
          <w:i/>
          <w:iCs/>
          <w:sz w:val="24"/>
          <w:vertAlign w:val="subscript"/>
        </w:rPr>
        <w:t>t</w:t>
      </w:r>
      <w:r>
        <w:rPr>
          <w:sz w:val="24"/>
        </w:rPr>
        <w:t xml:space="preserve">   is low price</w:t>
      </w:r>
    </w:p>
    <w:p>
      <w:pPr>
        <w:pStyle w:val="Normal"/>
        <w:rPr/>
      </w:pPr>
      <w:r>
        <w:rPr>
          <w:sz w:val="24"/>
        </w:rPr>
        <w:tab/>
      </w:r>
      <w:r>
        <w:rPr>
          <w:i/>
          <w:iCs/>
          <w:sz w:val="24"/>
        </w:rPr>
        <w:t>c</w:t>
      </w:r>
      <w:r>
        <w:rPr>
          <w:rFonts w:cs="Times" w:ascii="Times" w:hAnsi="Times"/>
          <w:i/>
          <w:iCs/>
          <w:sz w:val="24"/>
          <w:vertAlign w:val="subscript"/>
        </w:rPr>
        <w:t>t</w:t>
      </w:r>
      <w:r>
        <w:rPr>
          <w:sz w:val="24"/>
        </w:rPr>
        <w:t xml:space="preserve">  is closing price</w:t>
      </w:r>
    </w:p>
    <w:p>
      <w:pPr>
        <w:pStyle w:val="Normal"/>
        <w:rPr/>
      </w:pPr>
      <w:r>
        <w:rPr>
          <w:sz w:val="24"/>
        </w:rPr>
        <w:tab/>
      </w:r>
      <w:r>
        <w:rPr>
          <w:i/>
          <w:iCs/>
          <w:sz w:val="24"/>
        </w:rPr>
        <w:t>c</w:t>
      </w:r>
      <w:r>
        <w:rPr>
          <w:rFonts w:cs="Times" w:ascii="Times" w:hAnsi="Times"/>
          <w:i/>
          <w:iCs/>
          <w:sz w:val="24"/>
          <w:vertAlign w:val="subscript"/>
        </w:rPr>
        <w:t>t-1</w:t>
      </w:r>
      <w:r>
        <w:rPr>
          <w:sz w:val="24"/>
        </w:rPr>
        <w:t xml:space="preserve"> is opening price for the selected time interval</w:t>
      </w:r>
    </w:p>
    <w:p>
      <w:pPr>
        <w:pStyle w:val="Normal"/>
        <w:rPr>
          <w:sz w:val="24"/>
        </w:rPr>
      </w:pPr>
      <w:r>
        <w:rPr>
          <w:sz w:val="24"/>
        </w:rPr>
      </w:r>
    </w:p>
    <w:p>
      <w:pPr>
        <w:pStyle w:val="Normal"/>
        <w:rPr>
          <w:sz w:val="24"/>
        </w:rPr>
      </w:pPr>
      <w:r>
        <w:rPr>
          <w:sz w:val="24"/>
        </w:rPr>
        <w:tab/>
        <w:t>The square root of the variance is scaled to represent annual volatility.</w:t>
      </w:r>
    </w:p>
    <w:p>
      <w:pPr>
        <w:pStyle w:val="Normal"/>
        <w:rPr/>
      </w:pPr>
      <w:r>
        <w:rPr/>
      </w:r>
    </w:p>
    <w:p>
      <w:pPr>
        <w:pStyle w:val="Heading2"/>
        <w:ind w:hanging="0" w:start="0"/>
        <w:rPr/>
      </w:pPr>
      <w:r>
        <w:rPr/>
        <w:t>Arrival Rates</w:t>
      </w:r>
    </w:p>
    <w:p>
      <w:pPr>
        <w:pStyle w:val="Heading2"/>
        <w:ind w:hanging="0" w:start="0"/>
        <w:rPr/>
      </w:pPr>
      <w:r>
        <w:rPr/>
      </w:r>
    </w:p>
    <w:p>
      <w:pPr>
        <w:pStyle w:val="Heading2"/>
        <w:ind w:hanging="0" w:start="0"/>
        <w:rPr>
          <w:b w:val="false"/>
          <w:bCs/>
        </w:rPr>
      </w:pPr>
      <w:r>
        <w:rPr>
          <w:b w:val="false"/>
          <w:bCs/>
        </w:rPr>
        <w:t xml:space="preserve">A comparison of the ask order arrival intervals (on 1/3/01 during Nymex hours) compared to an exponential distribution is shown below. The average rate is 2771/day.  The bid arrivals are similar.  </w:t>
      </w:r>
    </w:p>
    <w:p>
      <w:pPr>
        <w:pStyle w:val="Heading2"/>
        <w:ind w:hanging="0" w:start="0"/>
        <w:rPr>
          <w:b w:val="false"/>
          <w:bCs/>
          <w:sz w:val="20"/>
          <w:lang w:val="en-CA" w:eastAsia="en-CA"/>
        </w:rPr>
      </w:pPr>
      <w:r>
        <w:rPr>
          <w:b w:val="false"/>
          <w:bCs/>
          <w:sz w:val="20"/>
          <w:lang w:val="en-CA" w:eastAsia="en-CA"/>
        </w:rPr>
        <w:drawing>
          <wp:anchor behindDoc="0" distT="0" distB="0" distL="114935" distR="114935" simplePos="0" locked="0" layoutInCell="1" allowOverlap="1" relativeHeight="10">
            <wp:simplePos x="0" y="0"/>
            <wp:positionH relativeFrom="column">
              <wp:posOffset>965835</wp:posOffset>
            </wp:positionH>
            <wp:positionV relativeFrom="paragraph">
              <wp:posOffset>161290</wp:posOffset>
            </wp:positionV>
            <wp:extent cx="3610610" cy="26765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3" r="-10" b="-13"/>
                    <a:stretch>
                      <a:fillRect/>
                    </a:stretch>
                  </pic:blipFill>
                  <pic:spPr bwMode="auto">
                    <a:xfrm>
                      <a:off x="0" y="0"/>
                      <a:ext cx="3610610" cy="2676525"/>
                    </a:xfrm>
                    <a:prstGeom prst="rect">
                      <a:avLst/>
                    </a:prstGeom>
                    <a:noFill/>
                  </pic:spPr>
                </pic:pic>
              </a:graphicData>
            </a:graphic>
          </wp:anchor>
        </w:drawing>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r>
    </w:p>
    <w:p>
      <w:pPr>
        <w:pStyle w:val="Heading2"/>
        <w:ind w:hanging="0" w:start="0"/>
        <w:rPr>
          <w:b w:val="false"/>
          <w:bCs/>
        </w:rPr>
      </w:pPr>
      <w:r>
        <w:rPr>
          <w:b w:val="false"/>
          <w:bCs/>
        </w:rPr>
        <w:t>Two comments on the above result.  In the presence of informed traders, the assumption of independent order arrivals is not met, and a departure from the exponential distribution is expected.  Also, there is no reason to expect a constant arrival rate during the day and a Poisson arrival process would be inhomogeneous.  It does not appear possible to separate these two effects.</w:t>
      </w:r>
    </w:p>
    <w:p>
      <w:pPr>
        <w:pStyle w:val="Normal"/>
        <w:rPr>
          <w:b/>
          <w:bCs/>
        </w:rPr>
      </w:pPr>
      <w:r>
        <w:rPr>
          <w:b/>
          <w:bCs/>
        </w:rPr>
      </w:r>
    </w:p>
    <w:p>
      <w:pPr>
        <w:pStyle w:val="BodyText"/>
        <w:rPr/>
      </w:pPr>
      <w:r>
        <w:rPr/>
        <w:t>In applying the Lu option model for the bid-ask spread, a time representing the life of the option is required.  One could use 1) the average interarrival time, 2) the most recent interarrival time or 3) a smoothed variable time based on an estimate for an inhomogeneous Poisson process.  One approach for 3) is shown below.</w:t>
      </w:r>
    </w:p>
    <w:p>
      <w:pPr>
        <w:pStyle w:val="Normal"/>
        <w:rPr>
          <w:sz w:val="24"/>
          <w:lang w:val="en-CA" w:eastAsia="en-CA"/>
        </w:rPr>
      </w:pPr>
      <w:r>
        <w:rPr>
          <w:sz w:val="24"/>
          <w:lang w:val="en-CA" w:eastAsia="en-CA"/>
        </w:rPr>
        <w:drawing>
          <wp:anchor behindDoc="0" distT="0" distB="0" distL="114935" distR="114935" simplePos="0" locked="0" layoutInCell="1" allowOverlap="1" relativeHeight="11">
            <wp:simplePos x="0" y="0"/>
            <wp:positionH relativeFrom="column">
              <wp:posOffset>508635</wp:posOffset>
            </wp:positionH>
            <wp:positionV relativeFrom="paragraph">
              <wp:posOffset>109220</wp:posOffset>
            </wp:positionV>
            <wp:extent cx="3686810" cy="262890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0" t="-14" r="-10" b="-14"/>
                    <a:stretch>
                      <a:fillRect/>
                    </a:stretch>
                  </pic:blipFill>
                  <pic:spPr bwMode="auto">
                    <a:xfrm>
                      <a:off x="0" y="0"/>
                      <a:ext cx="3686810" cy="2628900"/>
                    </a:xfrm>
                    <a:prstGeom prst="rect">
                      <a:avLst/>
                    </a:prstGeom>
                    <a:noFill/>
                  </pic:spPr>
                </pic:pic>
              </a:graphicData>
            </a:graphic>
          </wp:anchor>
        </w:drawing>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 xml:space="preserve">Here the inhomogeneous arrival rate is estimated from the most recent interarrival time.  For a Poisson process, the probability that an arrival will be greater than Δt is exp(-λΔt). So λ = ln(1 – p)/Δt.  The figure above uses p = 0.6; so we have a 40% probability that the arrival rate is 9,000/day for a interarrival time of 1 sec. </w:t>
      </w:r>
    </w:p>
    <w:p>
      <w:pPr>
        <w:pStyle w:val="Heading2"/>
        <w:ind w:hanging="0" w:start="0"/>
        <w:rPr>
          <w:b w:val="false"/>
          <w:bCs/>
          <w:sz w:val="24"/>
        </w:rPr>
      </w:pPr>
      <w:r>
        <w:rPr>
          <w:b w:val="false"/>
          <w:bCs/>
          <w:sz w:val="24"/>
        </w:rPr>
      </w:r>
    </w:p>
    <w:p>
      <w:pPr>
        <w:pStyle w:val="Normal"/>
        <w:rPr>
          <w:b/>
          <w:bCs/>
        </w:rPr>
      </w:pPr>
      <w:r>
        <w:rPr>
          <w:b/>
          <w:bCs/>
        </w:rPr>
      </w:r>
    </w:p>
    <w:p>
      <w:pPr>
        <w:pStyle w:val="Heading2"/>
        <w:ind w:hanging="0" w:start="0"/>
        <w:rPr/>
      </w:pPr>
      <w:r>
        <w:rPr/>
        <w:t>Volatility</w:t>
      </w:r>
    </w:p>
    <w:p>
      <w:pPr>
        <w:pStyle w:val="Normal"/>
        <w:rPr>
          <w:sz w:val="24"/>
        </w:rPr>
      </w:pPr>
      <w:r>
        <w:rPr>
          <w:sz w:val="24"/>
        </w:rPr>
      </w:r>
    </w:p>
    <w:p>
      <w:pPr>
        <w:pStyle w:val="Normal"/>
        <w:rPr>
          <w:sz w:val="24"/>
        </w:rPr>
      </w:pPr>
      <w:r>
        <w:rPr>
          <w:sz w:val="24"/>
        </w:rPr>
        <w:t xml:space="preserve">As mentioned above, the option models do not explicitly recognize likely movements (trends) in true value of the underlying price.  Since the options are at- or out-of-the-money, all the value comes from theta and vega.  The spread from the Lu increases in the presence of a trend, but the implied movement of the mid price is in the wrong direction.  In a trending market, the distribution of future prices will be highly skewed, while the options model assumes a normal distribution for log prices.  </w:t>
      </w:r>
    </w:p>
    <w:p>
      <w:pPr>
        <w:pStyle w:val="Normal"/>
        <w:rPr>
          <w:sz w:val="24"/>
        </w:rPr>
      </w:pPr>
      <w:r>
        <w:rPr>
          <w:sz w:val="24"/>
        </w:rPr>
      </w:r>
    </w:p>
    <w:p>
      <w:pPr>
        <w:pStyle w:val="Normal"/>
        <w:rPr>
          <w:sz w:val="24"/>
        </w:rPr>
      </w:pPr>
      <w:r>
        <w:rPr>
          <w:sz w:val="24"/>
        </w:rPr>
        <w:t>As is done for the use of Black-Scholes for options pricing, the trends implied by trade flow could be used to set a volatility skew to get "market" value for the options.  The option variance is given by:</w:t>
      </w:r>
    </w:p>
    <w:p>
      <w:pPr>
        <w:pStyle w:val="Normal"/>
        <w:rPr>
          <w:sz w:val="24"/>
        </w:rPr>
      </w:pPr>
      <w:r>
        <w:rPr>
          <w:sz w:val="24"/>
        </w:rPr>
      </w:r>
    </w:p>
    <w:p>
      <w:pPr>
        <w:pStyle w:val="Normal"/>
        <w:rPr>
          <w:sz w:val="24"/>
        </w:rPr>
      </w:pPr>
      <w:r>
        <w:rPr>
          <w:sz w:val="24"/>
        </w:rPr>
        <w:tab/>
        <w:tab/>
        <w:tab/>
      </w:r>
      <w:r>
        <w:rPr>
          <w:sz w:val="24"/>
        </w:rPr>
      </w:r>
      <m:oMath xmlns:m="http://schemas.openxmlformats.org/officeDocument/2006/math">
        <m:sSup>
          <m:e>
            <m:r>
              <m:t xml:space="preserve">σ</m:t>
            </m:r>
          </m:e>
          <m:sup>
            <m:r>
              <m:t xml:space="preserve">2</m:t>
            </m:r>
          </m:sup>
        </m:sSup>
        <m:d>
          <m:dPr>
            <m:begChr m:val="("/>
            <m:endChr m:val=")"/>
          </m:dPr>
          <m:e>
            <m:r>
              <m:t xml:space="preserve">μ</m:t>
            </m:r>
          </m:e>
        </m:d>
        <m:r>
          <m:t xml:space="preserve">Δt</m:t>
        </m:r>
      </m:oMath>
    </w:p>
    <w:p>
      <w:pPr>
        <w:pStyle w:val="Normal"/>
        <w:rPr>
          <w:sz w:val="24"/>
        </w:rPr>
      </w:pPr>
      <w:r>
        <w:rPr>
          <w:sz w:val="24"/>
        </w:rPr>
      </w:r>
    </w:p>
    <w:p>
      <w:pPr>
        <w:pStyle w:val="Normal"/>
        <w:rPr/>
      </w:pPr>
      <w:r>
        <w:rPr>
          <w:sz w:val="24"/>
        </w:rPr>
        <w:t>The direction of the trend can be represented by adding a drift term, μ,  to the cumulative normal arguments in the bid and ask price formulas.  μ will be positive for up trends and negative for down trends, giving the desired asymmetry in ask and bid price movements (see formulas for bid and ask prices above).</w:t>
      </w:r>
    </w:p>
    <w:p>
      <w:pPr>
        <w:pStyle w:val="Normal"/>
        <w:rPr>
          <w:sz w:val="24"/>
        </w:rPr>
      </w:pPr>
      <w:r>
        <w:rPr>
          <w:sz w:val="24"/>
        </w:rPr>
      </w:r>
    </w:p>
    <w:p>
      <w:pPr>
        <w:pStyle w:val="BodyText"/>
        <w:rPr/>
      </w:pPr>
      <w:r>
        <w:rPr/>
        <w:t>The figures below show the resulting behavior of the spread (using a round profit of 2 cents).</w:t>
      </w:r>
    </w:p>
    <w:p>
      <w:pPr>
        <w:pStyle w:val="Normal"/>
        <w:rPr>
          <w:sz w:val="24"/>
        </w:rPr>
      </w:pPr>
      <w:r>
        <w:rPr>
          <w:sz w:val="24"/>
        </w:rPr>
      </w:r>
    </w:p>
    <w:p>
      <w:pPr>
        <w:pStyle w:val="Normal"/>
        <w:rPr>
          <w:sz w:val="24"/>
        </w:rPr>
      </w:pPr>
      <w:r>
        <w:rPr>
          <w:sz w:val="24"/>
        </w:rPr>
      </w:r>
    </w:p>
    <w:p>
      <w:pPr>
        <w:pStyle w:val="Heading2"/>
        <w:ind w:hanging="0" w:start="0"/>
        <w:rPr>
          <w:bCs/>
        </w:rPr>
      </w:pPr>
      <w:r>
        <w:rPr>
          <w:bCs/>
          <w:u w:val="single"/>
        </w:rPr>
        <w:t>Variable time to option expiration</w:t>
      </w:r>
      <w:r>
        <w:rPr>
          <w:bCs/>
        </w:rPr>
        <w:t xml:space="preserve">   </w:t>
        <w:tab/>
        <w:tab/>
        <w:t xml:space="preserve"> </w:t>
      </w:r>
      <w:r>
        <w:rPr>
          <w:bCs/>
          <w:u w:val="single"/>
        </w:rPr>
        <w:t>Constant time to option expiration</w:t>
      </w:r>
    </w:p>
    <w:p>
      <w:pPr>
        <w:pStyle w:val="Normal"/>
        <w:rPr>
          <w:bCs/>
          <w:sz w:val="24"/>
          <w:lang w:val="en-CA" w:eastAsia="en-CA"/>
        </w:rPr>
      </w:pPr>
      <w:r>
        <w:rPr>
          <w:bCs/>
          <w:sz w:val="24"/>
          <w:lang w:val="en-CA" w:eastAsia="en-CA"/>
        </w:rPr>
        <w:drawing>
          <wp:anchor behindDoc="0" distT="0" distB="0" distL="114935" distR="114935" simplePos="0" locked="0" layoutInCell="1" allowOverlap="1" relativeHeight="12">
            <wp:simplePos x="0" y="0"/>
            <wp:positionH relativeFrom="column">
              <wp:posOffset>-634365</wp:posOffset>
            </wp:positionH>
            <wp:positionV relativeFrom="paragraph">
              <wp:posOffset>78740</wp:posOffset>
            </wp:positionV>
            <wp:extent cx="3543300" cy="2696210"/>
            <wp:effectExtent l="0" t="0" r="0" b="0"/>
            <wp:wrapNone/>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9" t="-13" r="-9" b="-13"/>
                    <a:stretch>
                      <a:fillRect/>
                    </a:stretch>
                  </pic:blipFill>
                  <pic:spPr bwMode="auto">
                    <a:xfrm>
                      <a:off x="0" y="0"/>
                      <a:ext cx="3543300" cy="2696210"/>
                    </a:xfrm>
                    <a:prstGeom prst="rect">
                      <a:avLst/>
                    </a:prstGeom>
                    <a:noFill/>
                  </pic:spPr>
                </pic:pic>
              </a:graphicData>
            </a:graphic>
          </wp:anchor>
        </w:drawing>
        <w:drawing>
          <wp:anchor behindDoc="0" distT="0" distB="0" distL="114935" distR="114935" simplePos="0" locked="0" layoutInCell="1" allowOverlap="1" relativeHeight="14">
            <wp:simplePos x="0" y="0"/>
            <wp:positionH relativeFrom="column">
              <wp:posOffset>3023235</wp:posOffset>
            </wp:positionH>
            <wp:positionV relativeFrom="paragraph">
              <wp:posOffset>78740</wp:posOffset>
            </wp:positionV>
            <wp:extent cx="3258185" cy="262890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9" t="-13" r="-9" b="-13"/>
                    <a:stretch>
                      <a:fillRect/>
                    </a:stretch>
                  </pic:blipFill>
                  <pic:spPr bwMode="auto">
                    <a:xfrm>
                      <a:off x="0" y="0"/>
                      <a:ext cx="3258185" cy="2628900"/>
                    </a:xfrm>
                    <a:prstGeom prst="rect">
                      <a:avLst/>
                    </a:prstGeom>
                    <a:noFill/>
                  </pic:spPr>
                </pic:pic>
              </a:graphicData>
            </a:graphic>
          </wp:anchor>
        </w:drawing>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bCs/>
          <w:sz w:val="24"/>
        </w:rPr>
      </w:pPr>
      <w:r>
        <w:rPr>
          <w:bCs/>
          <w:sz w:val="24"/>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sz w:val="20"/>
          <w:lang w:val="en-CA" w:eastAsia="en-CA"/>
        </w:rPr>
      </w:pPr>
      <w:r>
        <w:rPr>
          <w:bCs/>
          <w:sz w:val="20"/>
          <w:lang w:val="en-CA" w:eastAsia="en-CA"/>
        </w:rPr>
        <w:drawing>
          <wp:anchor behindDoc="0" distT="0" distB="0" distL="114935" distR="114935" simplePos="0" locked="0" layoutInCell="1" allowOverlap="1" relativeHeight="13">
            <wp:simplePos x="0" y="0"/>
            <wp:positionH relativeFrom="column">
              <wp:posOffset>-634365</wp:posOffset>
            </wp:positionH>
            <wp:positionV relativeFrom="paragraph">
              <wp:posOffset>18415</wp:posOffset>
            </wp:positionV>
            <wp:extent cx="3543300" cy="2219325"/>
            <wp:effectExtent l="0" t="0" r="0" b="0"/>
            <wp:wrapNone/>
            <wp:docPr id="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title=""/>
                    <pic:cNvPicPr>
                      <a:picLocks noChangeAspect="1" noChangeArrowheads="1"/>
                    </pic:cNvPicPr>
                  </pic:nvPicPr>
                  <pic:blipFill>
                    <a:blip r:embed="rId6"/>
                    <a:srcRect l="-10" t="-12" r="-10" b="-12"/>
                    <a:stretch>
                      <a:fillRect/>
                    </a:stretch>
                  </pic:blipFill>
                  <pic:spPr bwMode="auto">
                    <a:xfrm>
                      <a:off x="0" y="0"/>
                      <a:ext cx="3543300" cy="2219325"/>
                    </a:xfrm>
                    <a:prstGeom prst="rect">
                      <a:avLst/>
                    </a:prstGeom>
                    <a:noFill/>
                  </pic:spPr>
                </pic:pic>
              </a:graphicData>
            </a:graphic>
          </wp:anchor>
        </w:drawing>
        <w:drawing>
          <wp:anchor behindDoc="0" distT="0" distB="0" distL="114935" distR="114935" simplePos="0" locked="0" layoutInCell="1" allowOverlap="1" relativeHeight="15">
            <wp:simplePos x="0" y="0"/>
            <wp:positionH relativeFrom="column">
              <wp:posOffset>3023235</wp:posOffset>
            </wp:positionH>
            <wp:positionV relativeFrom="paragraph">
              <wp:posOffset>18415</wp:posOffset>
            </wp:positionV>
            <wp:extent cx="3296285" cy="2171700"/>
            <wp:effectExtent l="0" t="0" r="0" b="0"/>
            <wp:wrapNone/>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7"/>
                    <a:srcRect l="-10" t="-12" r="-10" b="-12"/>
                    <a:stretch>
                      <a:fillRect/>
                    </a:stretch>
                  </pic:blipFill>
                  <pic:spPr bwMode="auto">
                    <a:xfrm>
                      <a:off x="0" y="0"/>
                      <a:ext cx="3296285" cy="2171700"/>
                    </a:xfrm>
                    <a:prstGeom prst="rect">
                      <a:avLst/>
                    </a:prstGeom>
                    <a:noFill/>
                  </pic:spPr>
                </pic:pic>
              </a:graphicData>
            </a:graphic>
          </wp:anchor>
        </w:drawing>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r>
    </w:p>
    <w:p>
      <w:pPr>
        <w:pStyle w:val="Heading2"/>
        <w:ind w:hanging="0" w:start="0"/>
        <w:rPr>
          <w:bCs/>
        </w:rPr>
      </w:pPr>
      <w:r>
        <w:rPr>
          <w:bCs/>
        </w:rPr>
        <w:t>Other Considerations</w:t>
      </w:r>
    </w:p>
    <w:p>
      <w:pPr>
        <w:pStyle w:val="Normal"/>
        <w:rPr>
          <w:bCs/>
          <w:sz w:val="24"/>
        </w:rPr>
      </w:pPr>
      <w:r>
        <w:rPr>
          <w:bCs/>
          <w:sz w:val="24"/>
        </w:rPr>
      </w:r>
    </w:p>
    <w:p>
      <w:pPr>
        <w:pStyle w:val="Normal"/>
        <w:rPr>
          <w:sz w:val="24"/>
        </w:rPr>
      </w:pPr>
      <w:r>
        <w:rPr>
          <w:sz w:val="24"/>
        </w:rPr>
        <w:t>The wider spread expected during trending markets is intended to reduce trades  (and losses) from informed traders.  Limit orders, especially those at less than the maximum volume, can be assumed to come from liquidity traders and could be executed at a smaller spread than would otherwise be posted.</w:t>
      </w:r>
    </w:p>
    <w:p>
      <w:pPr>
        <w:pStyle w:val="Normal"/>
        <w:rPr>
          <w:sz w:val="24"/>
        </w:rPr>
      </w:pPr>
      <w:r>
        <w:rPr>
          <w:sz w:val="24"/>
        </w:rPr>
      </w:r>
    </w:p>
    <w:p>
      <w:pPr>
        <w:pStyle w:val="Normal"/>
        <w:rPr>
          <w:sz w:val="24"/>
        </w:rPr>
      </w:pPr>
      <w:r>
        <w:rPr>
          <w:sz w:val="24"/>
        </w:rPr>
        <w:t>To the extent that the pricing algorithm widens the spread and reduces trades, the EOL order flow will be reduced (possibly by a factor of 3 or moreduring Nymex hours).  This will make it more difficult to extract information about trader intentions from the order flow, and hence set the correct price/spread.  A direct feed of Nymex prices to the automated market maker will be an advantage in this situation.</w:t>
      </w:r>
    </w:p>
    <w:p>
      <w:pPr>
        <w:pStyle w:val="Normal"/>
        <w:rPr>
          <w:sz w:val="24"/>
        </w:rPr>
      </w:pPr>
      <w:r>
        <w:rPr>
          <w:sz w:val="24"/>
        </w:rPr>
      </w:r>
    </w:p>
    <w:p>
      <w:pPr>
        <w:pStyle w:val="Normal"/>
        <w:rPr>
          <w:sz w:val="24"/>
        </w:rPr>
      </w:pPr>
      <w:r>
        <w:rPr>
          <w:sz w:val="24"/>
        </w:rPr>
        <w:t>In the above evaluations failed trades are used in the calculation of interarrival times; they could be used only in setting the volume size before a price move is made.</w:t>
      </w:r>
    </w:p>
    <w:p>
      <w:pPr>
        <w:pStyle w:val="Normal"/>
        <w:rPr>
          <w:sz w:val="24"/>
        </w:rPr>
      </w:pPr>
      <w:r>
        <w:rPr>
          <w:sz w:val="24"/>
        </w:rPr>
      </w:r>
    </w:p>
    <w:p>
      <w:pPr>
        <w:pStyle w:val="Normal"/>
        <w:rPr>
          <w:sz w:val="24"/>
        </w:rPr>
      </w:pPr>
      <w:r>
        <w:rPr>
          <w:sz w:val="24"/>
        </w:rPr>
      </w:r>
    </w:p>
    <w:sectPr>
      <w:headerReference w:type="default" r:id="rId8"/>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Zimin Lu, 2001, Options Approach to Setting EOL Bid/Offer Prices, Enron Internal Memo</w:t>
      </w:r>
    </w:p>
  </w:footnote>
  <w:footnote w:id="3">
    <w:p>
      <w:pPr>
        <w:pStyle w:val="FootnoteText"/>
        <w:rPr/>
      </w:pPr>
      <w:r>
        <w:rPr>
          <w:rStyle w:val="FootnoteCharacters"/>
        </w:rPr>
        <w:footnoteRef/>
      </w:r>
      <w:r>
        <w:rPr/>
        <w:t xml:space="preserve"> </w:t>
      </w:r>
      <w:r>
        <w:rPr/>
        <w:t>Copeland and Galai, 1983, Information Effects on the Bid-Ask Spread, Journal of Finance, 38, 1457-1469</w:t>
      </w:r>
    </w:p>
  </w:footnote>
  <w:footnote w:id="4">
    <w:p>
      <w:pPr>
        <w:pStyle w:val="FootnoteText"/>
        <w:rPr/>
      </w:pPr>
      <w:r>
        <w:rPr>
          <w:rStyle w:val="FootnoteCharacters"/>
        </w:rPr>
        <w:footnoteRef/>
      </w:r>
      <w:r>
        <w:rPr/>
        <w:t xml:space="preserve"> </w:t>
      </w:r>
      <w:r>
        <w:rPr/>
        <w:t>Glosten and Milgrom, 1985, Bid, Ask, and Transaction Prices in a Specialist Market with Heterogeneously Informed Traders, Journal of Financial Economics, 13, 71-100</w:t>
      </w:r>
    </w:p>
  </w:footnote>
  <w:footnote w:id="5">
    <w:p>
      <w:pPr>
        <w:pStyle w:val="FootnoteText"/>
        <w:rPr/>
      </w:pPr>
      <w:r>
        <w:rPr>
          <w:rStyle w:val="FootnoteCharacters"/>
        </w:rPr>
        <w:footnoteRef/>
      </w:r>
      <w:r>
        <w:rPr/>
        <w:t xml:space="preserve"> </w:t>
      </w:r>
      <w:r>
        <w:rPr/>
        <w:t>Easley and O'Hara, 1992, Adverse Selection and Large trade Volume, Journal of Financial and Quantitative Analysis, 27, 185-208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7/25/01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2001-07-30T19:11:00Z</dcterms:created>
  <dc:creator>Robert Lee</dc:creator>
  <dc:description/>
  <dc:language>en-CA</dc:language>
  <cp:lastModifiedBy>blee5</cp:lastModifiedBy>
  <cp:lastPrinted>2001-07-30T16:19:00Z</cp:lastPrinted>
  <dcterms:modified xsi:type="dcterms:W3CDTF">2001-07-30T19:24:00Z</dcterms:modified>
  <cp:revision>3</cp:revision>
  <dc:subject/>
  <dc:title>Progress Report</dc:title>
</cp:coreProperties>
</file>