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rPr/>
      </w:pPr>
      <w:r>
        <w:rPr/>
      </w:r>
    </w:p>
    <w:p>
      <w:pPr>
        <w:pStyle w:val="Normal"/>
        <w:jc w:val="center"/>
        <w:rPr/>
      </w:pPr>
      <w:r>
        <w:rPr/>
        <w:t>Exhibit</w:t>
      </w:r>
    </w:p>
    <w:p>
      <w:pPr>
        <w:pStyle w:val="Normal"/>
        <w:jc w:val="center"/>
        <w:rPr/>
      </w:pPr>
      <w:r>
        <w:rPr/>
        <w:t>MDEA EPMI Incentive Fee Calculation</w:t>
      </w:r>
    </w:p>
    <w:p>
      <w:pPr>
        <w:pStyle w:val="Normal"/>
        <w:rPr/>
      </w:pPr>
      <w:r>
        <w:rPr/>
      </w:r>
    </w:p>
    <w:p>
      <w:pPr>
        <w:pStyle w:val="Normal"/>
        <w:jc w:val="both"/>
        <w:rPr/>
      </w:pPr>
      <w:r>
        <w:rPr/>
        <w:t>MDEA and EPMI will share the Profits, Savings and Gas Proceeds according to the following percentages for the On-Peak hours:</w:t>
      </w:r>
    </w:p>
    <w:p>
      <w:pPr>
        <w:pStyle w:val="Normal"/>
        <w:jc w:val="both"/>
        <w:rPr/>
      </w:pPr>
      <w:r>
        <w:rPr/>
      </w:r>
    </w:p>
    <w:p>
      <w:pPr>
        <w:pStyle w:val="Normal"/>
        <w:numPr>
          <w:ilvl w:val="0"/>
          <w:numId w:val="2"/>
        </w:numPr>
        <w:jc w:val="both"/>
        <w:rPr/>
      </w:pPr>
      <w:r>
        <w:rPr/>
        <w:t>MDEA 60% and</w:t>
      </w:r>
    </w:p>
    <w:p>
      <w:pPr>
        <w:pStyle w:val="Normal"/>
        <w:numPr>
          <w:ilvl w:val="0"/>
          <w:numId w:val="2"/>
        </w:numPr>
        <w:jc w:val="both"/>
        <w:rPr/>
      </w:pPr>
      <w:r>
        <w:rPr/>
        <w:t>EPMI 40%.</w:t>
      </w:r>
    </w:p>
    <w:p>
      <w:pPr>
        <w:pStyle w:val="Normal"/>
        <w:jc w:val="both"/>
        <w:rPr/>
      </w:pPr>
      <w:r>
        <w:rPr/>
      </w:r>
    </w:p>
    <w:p>
      <w:pPr>
        <w:pStyle w:val="Normal"/>
        <w:jc w:val="both"/>
        <w:rPr/>
      </w:pPr>
      <w:r>
        <w:rPr/>
        <w:t>Profit per hour is realized when Products are sold to the market and is calculated as the product of MWh sold in all Transactions and the difference between Market Price and the Target Production Cost as follows:</w:t>
      </w:r>
    </w:p>
    <w:p>
      <w:pPr>
        <w:pStyle w:val="Normal"/>
        <w:jc w:val="both"/>
        <w:rPr/>
      </w:pPr>
      <w:r>
        <w:rPr/>
      </w:r>
    </w:p>
    <w:p>
      <w:pPr>
        <w:pStyle w:val="Normal"/>
        <w:jc w:val="center"/>
        <w:rPr/>
      </w:pPr>
      <w:r>
        <w:rPr/>
        <w:t>Profit per hour = MWh * (Market Price – Target Production Cost)</w:t>
      </w:r>
    </w:p>
    <w:p>
      <w:pPr>
        <w:pStyle w:val="Normal"/>
        <w:jc w:val="both"/>
        <w:rPr/>
      </w:pPr>
      <w:r>
        <w:rPr/>
      </w:r>
    </w:p>
    <w:p>
      <w:pPr>
        <w:pStyle w:val="Normal"/>
        <w:jc w:val="both"/>
        <w:rPr/>
      </w:pPr>
      <w:r>
        <w:rPr/>
        <w:tab/>
        <w:t>Example:</w:t>
      </w:r>
    </w:p>
    <w:p>
      <w:pPr>
        <w:pStyle w:val="Normal"/>
        <w:jc w:val="both"/>
        <w:rPr/>
      </w:pPr>
      <w:r>
        <w:rPr/>
        <w:tab/>
        <w:tab/>
        <w:t>Market Price:</w:t>
        <w:tab/>
        <w:tab/>
        <w:tab/>
        <w:t>$75/MWh</w:t>
      </w:r>
    </w:p>
    <w:p>
      <w:pPr>
        <w:pStyle w:val="Normal"/>
        <w:jc w:val="both"/>
        <w:rPr/>
      </w:pPr>
      <w:r>
        <w:rPr/>
        <w:tab/>
        <w:tab/>
        <w:t>Target Production Cost:</w:t>
        <w:tab/>
        <w:t>$55/WMh</w:t>
      </w:r>
    </w:p>
    <w:p>
      <w:pPr>
        <w:pStyle w:val="Normal"/>
        <w:jc w:val="both"/>
        <w:rPr/>
      </w:pPr>
      <w:r>
        <w:rPr/>
        <w:tab/>
        <w:tab/>
        <w:t>MW hours sold:</w:t>
        <w:tab/>
        <w:tab/>
        <w:t>10 MWh</w:t>
      </w:r>
    </w:p>
    <w:p>
      <w:pPr>
        <w:pStyle w:val="Normal"/>
        <w:jc w:val="both"/>
        <w:rPr/>
      </w:pPr>
      <w:r>
        <w:rPr/>
      </w:r>
    </w:p>
    <w:p>
      <w:pPr>
        <w:pStyle w:val="Normal"/>
        <w:jc w:val="both"/>
        <w:rPr/>
      </w:pPr>
      <w:r>
        <w:rPr/>
        <w:tab/>
        <w:tab/>
        <w:t>Profit per hour = 10MWh($75/MWh - $55/MWh)</w:t>
      </w:r>
    </w:p>
    <w:p>
      <w:pPr>
        <w:pStyle w:val="Normal"/>
        <w:jc w:val="both"/>
        <w:rPr/>
      </w:pPr>
      <w:r>
        <w:rPr/>
        <w:tab/>
        <w:tab/>
        <w:t>Profit per hour = $200</w:t>
      </w:r>
    </w:p>
    <w:p>
      <w:pPr>
        <w:pStyle w:val="Normal"/>
        <w:jc w:val="both"/>
        <w:rPr/>
      </w:pPr>
      <w:r>
        <w:rPr/>
      </w:r>
    </w:p>
    <w:p>
      <w:pPr>
        <w:pStyle w:val="Normal"/>
        <w:jc w:val="both"/>
        <w:rPr/>
      </w:pPr>
      <w:r>
        <w:rPr/>
        <w:tab/>
        <w:tab/>
        <w:t>EPMI Fee = 40%($200)</w:t>
      </w:r>
    </w:p>
    <w:p>
      <w:pPr>
        <w:pStyle w:val="Normal"/>
        <w:jc w:val="both"/>
        <w:rPr/>
      </w:pPr>
      <w:r>
        <w:rPr/>
        <w:tab/>
        <w:tab/>
        <w:t>EPMI Fee = $80</w:t>
      </w:r>
    </w:p>
    <w:p>
      <w:pPr>
        <w:pStyle w:val="Normal"/>
        <w:jc w:val="both"/>
        <w:rPr/>
      </w:pPr>
      <w:r>
        <w:rPr/>
      </w:r>
    </w:p>
    <w:p>
      <w:pPr>
        <w:pStyle w:val="Normal"/>
        <w:jc w:val="both"/>
        <w:rPr/>
      </w:pPr>
      <w:r>
        <w:rPr/>
        <w:t>Savings per hour is calculated as the product of MWh bought on behalf of MDEA in accordance with this Agreement and the difference between Target Production Cost and the Market Price for delivered power as follows:</w:t>
      </w:r>
    </w:p>
    <w:p>
      <w:pPr>
        <w:pStyle w:val="Normal"/>
        <w:jc w:val="both"/>
        <w:rPr/>
      </w:pPr>
      <w:r>
        <w:rPr/>
      </w:r>
    </w:p>
    <w:p>
      <w:pPr>
        <w:pStyle w:val="BodyText2"/>
        <w:tabs>
          <w:tab w:val="clear" w:pos="720"/>
          <w:tab w:val="left" w:pos="1260" w:leader="none"/>
        </w:tabs>
        <w:rPr/>
      </w:pPr>
      <w:r>
        <w:rPr/>
        <w:tab/>
        <w:t>Savings per hour = MWh * (Target Production Cost – Market Price)</w:t>
      </w:r>
    </w:p>
    <w:p>
      <w:pPr>
        <w:pStyle w:val="BodyText2"/>
        <w:tabs>
          <w:tab w:val="clear" w:pos="720"/>
          <w:tab w:val="left" w:pos="1260" w:leader="none"/>
        </w:tabs>
        <w:rPr/>
      </w:pPr>
      <w:r>
        <w:rPr/>
      </w:r>
    </w:p>
    <w:p>
      <w:pPr>
        <w:pStyle w:val="BodyText2"/>
        <w:tabs>
          <w:tab w:val="left" w:pos="720" w:leader="none"/>
        </w:tabs>
        <w:rPr/>
      </w:pPr>
      <w:r>
        <w:rPr/>
        <w:tab/>
        <w:t>Example:</w:t>
      </w:r>
    </w:p>
    <w:p>
      <w:pPr>
        <w:pStyle w:val="BodyText2"/>
        <w:tabs>
          <w:tab w:val="clear" w:pos="720"/>
          <w:tab w:val="left" w:pos="1440" w:leader="none"/>
        </w:tabs>
        <w:rPr/>
      </w:pPr>
      <w:r>
        <w:rPr/>
        <w:tab/>
        <w:t>Market Price:</w:t>
        <w:tab/>
        <w:tab/>
        <w:tab/>
        <w:t>$45/MWh</w:t>
      </w:r>
    </w:p>
    <w:p>
      <w:pPr>
        <w:pStyle w:val="BodyText2"/>
        <w:tabs>
          <w:tab w:val="clear" w:pos="720"/>
          <w:tab w:val="left" w:pos="1440" w:leader="none"/>
        </w:tabs>
        <w:rPr/>
      </w:pPr>
      <w:r>
        <w:rPr/>
        <w:tab/>
        <w:t>Target Production Cost:</w:t>
        <w:tab/>
        <w:t>$55/MWh</w:t>
      </w:r>
    </w:p>
    <w:p>
      <w:pPr>
        <w:pStyle w:val="BodyText2"/>
        <w:tabs>
          <w:tab w:val="clear" w:pos="720"/>
          <w:tab w:val="left" w:pos="1440" w:leader="none"/>
        </w:tabs>
        <w:rPr/>
      </w:pPr>
      <w:r>
        <w:rPr/>
        <w:tab/>
        <w:t>MW hours bought:</w:t>
        <w:tab/>
        <w:tab/>
        <w:t>10 MWh</w:t>
      </w:r>
    </w:p>
    <w:p>
      <w:pPr>
        <w:pStyle w:val="BodyText2"/>
        <w:tabs>
          <w:tab w:val="clear" w:pos="720"/>
          <w:tab w:val="left" w:pos="1440" w:leader="none"/>
        </w:tabs>
        <w:rPr/>
      </w:pPr>
      <w:r>
        <w:rPr/>
      </w:r>
    </w:p>
    <w:p>
      <w:pPr>
        <w:pStyle w:val="BodyText2"/>
        <w:tabs>
          <w:tab w:val="clear" w:pos="720"/>
          <w:tab w:val="left" w:pos="1440" w:leader="none"/>
        </w:tabs>
        <w:rPr/>
      </w:pPr>
      <w:r>
        <w:rPr/>
        <w:tab/>
        <w:t>Savings per hour = 10 MWh($55/MWh - $45/MWh)</w:t>
      </w:r>
    </w:p>
    <w:p>
      <w:pPr>
        <w:pStyle w:val="BodyText2"/>
        <w:tabs>
          <w:tab w:val="clear" w:pos="720"/>
          <w:tab w:val="left" w:pos="1440" w:leader="none"/>
        </w:tabs>
        <w:rPr/>
      </w:pPr>
      <w:r>
        <w:rPr/>
        <w:tab/>
        <w:t>Savings per hour = $100</w:t>
      </w:r>
    </w:p>
    <w:p>
      <w:pPr>
        <w:pStyle w:val="BodyText2"/>
        <w:tabs>
          <w:tab w:val="clear" w:pos="720"/>
          <w:tab w:val="left" w:pos="1440" w:leader="none"/>
        </w:tabs>
        <w:rPr/>
      </w:pPr>
      <w:r>
        <w:rPr/>
      </w:r>
    </w:p>
    <w:p>
      <w:pPr>
        <w:pStyle w:val="BodyText2"/>
        <w:tabs>
          <w:tab w:val="clear" w:pos="720"/>
          <w:tab w:val="left" w:pos="1440" w:leader="none"/>
        </w:tabs>
        <w:rPr/>
      </w:pPr>
      <w:r>
        <w:rPr/>
        <w:tab/>
        <w:t>EPMI Fee = 40% ($100)</w:t>
      </w:r>
    </w:p>
    <w:p>
      <w:pPr>
        <w:pStyle w:val="BodyText2"/>
        <w:tabs>
          <w:tab w:val="clear" w:pos="720"/>
          <w:tab w:val="left" w:pos="1440" w:leader="none"/>
        </w:tabs>
        <w:rPr/>
      </w:pPr>
      <w:r>
        <w:rPr/>
        <w:tab/>
        <w:t>EPMI Fee = $40</w:t>
      </w:r>
    </w:p>
    <w:p>
      <w:pPr>
        <w:pStyle w:val="BodyText2"/>
        <w:tabs>
          <w:tab w:val="clear" w:pos="720"/>
          <w:tab w:val="left" w:pos="1440" w:leader="none"/>
        </w:tabs>
        <w:rPr/>
      </w:pPr>
      <w:r>
        <w:rPr/>
      </w:r>
    </w:p>
    <w:p>
      <w:pPr>
        <w:pStyle w:val="Normal"/>
        <w:jc w:val="both"/>
        <w:rPr/>
      </w:pPr>
      <w:r>
        <w:rPr/>
        <w:t>Daily Profit and Savings is the summation over 24 hours of the hourly Profit and Savings, respectively.</w:t>
      </w:r>
    </w:p>
    <w:p>
      <w:pPr>
        <w:pStyle w:val="Normal"/>
        <w:jc w:val="both"/>
        <w:rPr/>
      </w:pPr>
      <w:r>
        <w:rPr/>
      </w:r>
    </w:p>
    <w:p>
      <w:pPr>
        <w:pStyle w:val="Normal"/>
        <w:jc w:val="both"/>
        <w:rPr/>
      </w:pPr>
      <w:r>
        <w:rPr/>
        <w:t>Target Production Cost (TPC) is a function of forecasted load, combined heat rate, startup costs, variable operation and maintenance costs, minimum and preferred run times, and fuel costs.  The TPC is calculated daily as described in the Target Production Cost Calculation Exhibit.</w:t>
      </w:r>
    </w:p>
    <w:p>
      <w:pPr>
        <w:pStyle w:val="Normal"/>
        <w:jc w:val="both"/>
        <w:rPr/>
      </w:pPr>
      <w:r>
        <w:rPr/>
      </w:r>
    </w:p>
    <w:p>
      <w:pPr>
        <w:pStyle w:val="Normal"/>
        <w:jc w:val="both"/>
        <w:rPr/>
      </w:pPr>
      <w:r>
        <w:rPr/>
        <w:t>Heat rate for each generator is specified in Exhibit “1”, Facilities.  The heat rates were provided by the Cities and may be updated as mutually agreed to by the Parties as operating data is collected during the Term of the Agreement.</w:t>
      </w:r>
    </w:p>
    <w:p>
      <w:pPr>
        <w:pStyle w:val="Normal"/>
        <w:jc w:val="both"/>
        <w:rPr/>
      </w:pPr>
      <w:r>
        <w:rPr/>
      </w:r>
    </w:p>
    <w:p>
      <w:pPr>
        <w:pStyle w:val="BodyText2"/>
        <w:rPr/>
      </w:pPr>
      <w:r>
        <w:rPr/>
        <w:t>VOM is the variable operation and maintenance cost for each unit as specified in Exhibit “1”, Facilities.  The VOM costs were provided by the Cities and may be updated as mutually agreed to by the Parties as operating data is collected during the Term of the Agreement.</w:t>
      </w:r>
    </w:p>
    <w:p>
      <w:pPr>
        <w:pStyle w:val="Normal"/>
        <w:jc w:val="both"/>
        <w:rPr/>
      </w:pPr>
      <w:r>
        <w:rPr/>
      </w:r>
    </w:p>
    <w:p>
      <w:pPr>
        <w:pStyle w:val="BodyText"/>
        <w:rPr/>
      </w:pPr>
      <w:r>
        <w:rPr>
          <w:rFonts w:cs="Times New Roman" w:ascii="Times New Roman" w:hAnsi="Times New Roman"/>
          <w:sz w:val="24"/>
        </w:rPr>
        <w:t>Unit Start Charge is the cost to start-up each unit as specified in Exhibit “1”, Facilities, and includes (a) start-up gas quantity required for the effected unit multiplied by the Delivered Gas Cost, (b) man-hour cost for a typical cold start, and (c) other miscellaneous costs.  The Unit Start Charges were provided by the Cities and may be updated as mutually agreed to by the</w:t>
      </w:r>
      <w:r>
        <w:rPr/>
        <w:t xml:space="preserve"> Parties</w:t>
      </w:r>
      <w:r>
        <w:rPr>
          <w:rFonts w:cs="Times New Roman" w:ascii="Times New Roman" w:hAnsi="Times New Roman"/>
          <w:sz w:val="24"/>
        </w:rPr>
        <w:t xml:space="preserve"> as operating data is collected during the Term of the Agreement.</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Gas Proceeds may result from Gas Profits or Gas Savings and are a result of displacing the Cities’ generation or use of fuel oil instead of gas.  Gas Profits result when gas purchased to fuel Facilities is released to the market and is sold for a higher price than originally purchased.</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Gas Profits = (Gas Sale Price – Gas Purchase Price) * Gas Volume</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Example:</w:t>
      </w:r>
    </w:p>
    <w:p>
      <w:pPr>
        <w:pStyle w:val="BodyText"/>
        <w:rPr>
          <w:rFonts w:ascii="Times New Roman" w:hAnsi="Times New Roman" w:cs="Times New Roman"/>
          <w:sz w:val="24"/>
        </w:rPr>
      </w:pPr>
      <w:r>
        <w:rPr>
          <w:rFonts w:cs="Times New Roman" w:ascii="Times New Roman" w:hAnsi="Times New Roman"/>
          <w:sz w:val="24"/>
        </w:rPr>
        <w:tab/>
        <w:tab/>
        <w:t>Gas Sale Price:</w:t>
        <w:tab/>
        <w:t>$4.10/MMBTU</w:t>
      </w:r>
    </w:p>
    <w:p>
      <w:pPr>
        <w:pStyle w:val="BodyText"/>
        <w:rPr>
          <w:rFonts w:ascii="Times New Roman" w:hAnsi="Times New Roman" w:cs="Times New Roman"/>
          <w:sz w:val="24"/>
        </w:rPr>
      </w:pPr>
      <w:r>
        <w:rPr>
          <w:rFonts w:cs="Times New Roman" w:ascii="Times New Roman" w:hAnsi="Times New Roman"/>
          <w:sz w:val="24"/>
        </w:rPr>
        <w:tab/>
        <w:tab/>
        <w:t>Gas Purchase Price:</w:t>
        <w:tab/>
        <w:t>$3.90/MMBTU</w:t>
      </w:r>
    </w:p>
    <w:p>
      <w:pPr>
        <w:pStyle w:val="BodyText"/>
        <w:rPr>
          <w:rFonts w:ascii="Times New Roman" w:hAnsi="Times New Roman" w:cs="Times New Roman"/>
          <w:sz w:val="24"/>
        </w:rPr>
      </w:pPr>
      <w:r>
        <w:rPr>
          <w:rFonts w:cs="Times New Roman" w:ascii="Times New Roman" w:hAnsi="Times New Roman"/>
          <w:sz w:val="24"/>
        </w:rPr>
        <w:tab/>
        <w:tab/>
        <w:t>Gas Volume:</w:t>
        <w:tab/>
        <w:tab/>
        <w:t>10,000 MMBTU</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Gas Profits = ($4.10/MMBTU - $3.90/MMBTU)* 10,000 MMBTU</w:t>
      </w:r>
    </w:p>
    <w:p>
      <w:pPr>
        <w:pStyle w:val="BodyText"/>
        <w:rPr>
          <w:rFonts w:ascii="Times New Roman" w:hAnsi="Times New Roman" w:cs="Times New Roman"/>
          <w:sz w:val="24"/>
        </w:rPr>
      </w:pPr>
      <w:r>
        <w:rPr>
          <w:rFonts w:cs="Times New Roman" w:ascii="Times New Roman" w:hAnsi="Times New Roman"/>
          <w:sz w:val="24"/>
        </w:rPr>
        <w:tab/>
        <w:tab/>
        <w:t>Gas Profits = $2,000</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EPMI Fee = 40% ($2,000)</w:t>
      </w:r>
    </w:p>
    <w:p>
      <w:pPr>
        <w:pStyle w:val="BodyText"/>
        <w:rPr>
          <w:rFonts w:ascii="Times New Roman" w:hAnsi="Times New Roman" w:cs="Times New Roman"/>
          <w:sz w:val="24"/>
        </w:rPr>
      </w:pPr>
      <w:r>
        <w:rPr>
          <w:rFonts w:cs="Times New Roman" w:ascii="Times New Roman" w:hAnsi="Times New Roman"/>
          <w:sz w:val="24"/>
        </w:rPr>
        <w:tab/>
        <w:tab/>
        <w:t>EPMI Fee = $800</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If gas release is associated with purchasing power, Gas Profits will be netted against the positive difference between the Total Production Cost and the Market Price to result in Gas Savings.</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Gas Savings = Gas Profits + [(Target Production Cost – Market Price)*MWh]</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Example:</w:t>
      </w:r>
    </w:p>
    <w:p>
      <w:pPr>
        <w:pStyle w:val="BodyText"/>
        <w:rPr>
          <w:rFonts w:ascii="Times New Roman" w:hAnsi="Times New Roman" w:cs="Times New Roman"/>
          <w:sz w:val="24"/>
        </w:rPr>
      </w:pPr>
      <w:r>
        <w:rPr>
          <w:rFonts w:cs="Times New Roman" w:ascii="Times New Roman" w:hAnsi="Times New Roman"/>
          <w:sz w:val="24"/>
        </w:rPr>
        <w:tab/>
        <w:tab/>
        <w:t>Gas Profits:</w:t>
        <w:tab/>
        <w:tab/>
        <w:tab/>
        <w:t>$2,000</w:t>
      </w:r>
    </w:p>
    <w:p>
      <w:pPr>
        <w:pStyle w:val="BodyText"/>
        <w:rPr>
          <w:rFonts w:ascii="Times New Roman" w:hAnsi="Times New Roman" w:cs="Times New Roman"/>
          <w:sz w:val="24"/>
        </w:rPr>
      </w:pPr>
      <w:r>
        <w:rPr>
          <w:rFonts w:cs="Times New Roman" w:ascii="Times New Roman" w:hAnsi="Times New Roman"/>
          <w:sz w:val="24"/>
        </w:rPr>
        <w:tab/>
        <w:tab/>
        <w:t>Market Price for Power:</w:t>
        <w:tab/>
        <w:t>$35/MWh</w:t>
        <w:tab/>
        <w:tab/>
      </w:r>
    </w:p>
    <w:p>
      <w:pPr>
        <w:pStyle w:val="BodyText"/>
        <w:rPr>
          <w:rFonts w:ascii="Times New Roman" w:hAnsi="Times New Roman" w:cs="Times New Roman"/>
          <w:sz w:val="24"/>
        </w:rPr>
      </w:pPr>
      <w:r>
        <w:rPr>
          <w:rFonts w:cs="Times New Roman" w:ascii="Times New Roman" w:hAnsi="Times New Roman"/>
          <w:sz w:val="24"/>
        </w:rPr>
        <w:tab/>
        <w:tab/>
        <w:t>Target Production Cost:</w:t>
        <w:tab/>
        <w:t>$55/MWh</w:t>
      </w:r>
    </w:p>
    <w:p>
      <w:pPr>
        <w:pStyle w:val="BodyText"/>
        <w:rPr>
          <w:rFonts w:ascii="Times New Roman" w:hAnsi="Times New Roman" w:cs="Times New Roman"/>
          <w:sz w:val="24"/>
        </w:rPr>
      </w:pPr>
      <w:r>
        <w:rPr>
          <w:rFonts w:cs="Times New Roman" w:ascii="Times New Roman" w:hAnsi="Times New Roman"/>
          <w:sz w:val="24"/>
        </w:rPr>
        <w:tab/>
        <w:tab/>
        <w:t>Total MW hours:</w:t>
        <w:tab/>
        <w:tab/>
        <w:t>10</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Gas Savings =  $2,000 + [($55/MWh - $35/MWh) 10MWh]</w:t>
      </w:r>
    </w:p>
    <w:p>
      <w:pPr>
        <w:pStyle w:val="BodyText"/>
        <w:rPr>
          <w:rFonts w:ascii="Times New Roman" w:hAnsi="Times New Roman" w:cs="Times New Roman"/>
          <w:sz w:val="24"/>
        </w:rPr>
      </w:pPr>
      <w:r>
        <w:rPr>
          <w:rFonts w:cs="Times New Roman" w:ascii="Times New Roman" w:hAnsi="Times New Roman"/>
          <w:sz w:val="24"/>
        </w:rPr>
        <w:tab/>
        <w:tab/>
        <w:t>Gas Savings = $2,200</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EPMI Fee = 40% ($2,200)</w:t>
      </w:r>
    </w:p>
    <w:p>
      <w:pPr>
        <w:pStyle w:val="BodyText"/>
        <w:rPr>
          <w:rFonts w:ascii="Times New Roman" w:hAnsi="Times New Roman" w:cs="Times New Roman"/>
          <w:sz w:val="24"/>
        </w:rPr>
      </w:pPr>
      <w:r>
        <w:rPr>
          <w:rFonts w:cs="Times New Roman" w:ascii="Times New Roman" w:hAnsi="Times New Roman"/>
          <w:sz w:val="24"/>
        </w:rPr>
        <w:tab/>
        <w:tab/>
        <w:t>EPMI Fee = $880</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If gas released is associated with burning fuel oil, Gas Profits should be netted against the positive difference between the gas purchase price and the replacement cost of fuel oil on an MMBTU basis.</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Gas Proceeds = Gas Profits + [(Gas Purchase Price – Replacement Oil Price)*(MMBTUs)]</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Example:</w:t>
      </w:r>
    </w:p>
    <w:p>
      <w:pPr>
        <w:pStyle w:val="BodyText"/>
        <w:rPr>
          <w:rFonts w:ascii="Times New Roman" w:hAnsi="Times New Roman" w:cs="Times New Roman"/>
          <w:sz w:val="24"/>
        </w:rPr>
      </w:pPr>
      <w:r>
        <w:rPr>
          <w:rFonts w:cs="Times New Roman" w:ascii="Times New Roman" w:hAnsi="Times New Roman"/>
          <w:sz w:val="24"/>
        </w:rPr>
        <w:tab/>
        <w:tab/>
        <w:t>Gas Profits:</w:t>
        <w:tab/>
        <w:tab/>
        <w:tab/>
        <w:t>$2,000</w:t>
      </w:r>
    </w:p>
    <w:p>
      <w:pPr>
        <w:pStyle w:val="BodyText"/>
        <w:rPr>
          <w:rFonts w:ascii="Times New Roman" w:hAnsi="Times New Roman" w:cs="Times New Roman"/>
          <w:sz w:val="24"/>
        </w:rPr>
      </w:pPr>
      <w:r>
        <w:rPr>
          <w:rFonts w:cs="Times New Roman" w:ascii="Times New Roman" w:hAnsi="Times New Roman"/>
          <w:sz w:val="24"/>
        </w:rPr>
        <w:tab/>
        <w:tab/>
        <w:t>Gas Purchase Price:</w:t>
        <w:tab/>
        <w:tab/>
        <w:t>$3.90/MMBTU</w:t>
      </w:r>
    </w:p>
    <w:p>
      <w:pPr>
        <w:pStyle w:val="BodyText"/>
        <w:rPr>
          <w:rFonts w:ascii="Times New Roman" w:hAnsi="Times New Roman" w:cs="Times New Roman"/>
          <w:sz w:val="24"/>
        </w:rPr>
      </w:pPr>
      <w:r>
        <w:rPr>
          <w:rFonts w:cs="Times New Roman" w:ascii="Times New Roman" w:hAnsi="Times New Roman"/>
          <w:sz w:val="24"/>
        </w:rPr>
        <w:tab/>
        <w:tab/>
        <w:t>Replacement Oil Price:</w:t>
        <w:tab/>
        <w:t>$3.80/MMBTU</w:t>
      </w:r>
    </w:p>
    <w:p>
      <w:pPr>
        <w:pStyle w:val="BodyText"/>
        <w:rPr>
          <w:rFonts w:ascii="Times New Roman" w:hAnsi="Times New Roman" w:cs="Times New Roman"/>
          <w:sz w:val="24"/>
        </w:rPr>
      </w:pPr>
      <w:r>
        <w:rPr>
          <w:rFonts w:cs="Times New Roman" w:ascii="Times New Roman" w:hAnsi="Times New Roman"/>
          <w:sz w:val="24"/>
        </w:rPr>
        <w:tab/>
        <w:tab/>
        <w:t>Total MMBTU:</w:t>
        <w:tab/>
        <w:tab/>
        <w:t>10,000 MMBTU</w:t>
      </w:r>
    </w:p>
    <w:p>
      <w:pPr>
        <w:pStyle w:val="Normal"/>
        <w:rPr>
          <w:rFonts w:ascii="Times New Roman" w:hAnsi="Times New Roman" w:cs="Times New Roman"/>
          <w:sz w:val="24"/>
        </w:rPr>
      </w:pPr>
      <w:r>
        <w:rPr>
          <w:rFonts w:cs="Times New Roman"/>
          <w:sz w:val="24"/>
        </w:rPr>
      </w:r>
    </w:p>
    <w:p>
      <w:pPr>
        <w:pStyle w:val="BodyText"/>
        <w:ind w:start="720" w:end="0"/>
        <w:rPr>
          <w:rFonts w:ascii="Times New Roman" w:hAnsi="Times New Roman" w:cs="Times New Roman"/>
          <w:sz w:val="24"/>
        </w:rPr>
      </w:pPr>
      <w:r>
        <w:rPr>
          <w:rFonts w:cs="Times New Roman" w:ascii="Times New Roman" w:hAnsi="Times New Roman"/>
          <w:sz w:val="24"/>
        </w:rPr>
        <w:t>Gas Proceeds =  $2,000 + [($3.90/MMBTU - $3.80/MMBTU)*10,000MMBTU]</w:t>
      </w:r>
    </w:p>
    <w:p>
      <w:pPr>
        <w:pStyle w:val="BodyText"/>
        <w:rPr>
          <w:rFonts w:ascii="Times New Roman" w:hAnsi="Times New Roman" w:cs="Times New Roman"/>
          <w:sz w:val="24"/>
        </w:rPr>
      </w:pPr>
      <w:r>
        <w:rPr>
          <w:rFonts w:cs="Times New Roman" w:ascii="Times New Roman" w:hAnsi="Times New Roman"/>
          <w:sz w:val="24"/>
        </w:rPr>
        <w:tab/>
        <w:t>Gas Proceeds = $3,000</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EPMI Fee = 40% ($3,000)</w:t>
      </w:r>
    </w:p>
    <w:p>
      <w:pPr>
        <w:pStyle w:val="BodyText"/>
        <w:rPr>
          <w:rFonts w:ascii="Times New Roman" w:hAnsi="Times New Roman" w:cs="Times New Roman"/>
          <w:sz w:val="24"/>
        </w:rPr>
      </w:pPr>
      <w:r>
        <w:rPr>
          <w:rFonts w:cs="Times New Roman" w:ascii="Times New Roman" w:hAnsi="Times New Roman"/>
          <w:sz w:val="24"/>
        </w:rPr>
        <w:tab/>
        <w:tab/>
        <w:t>EPMI Fee = $1,200</w:t>
      </w:r>
    </w:p>
    <w:p>
      <w:pPr>
        <w:pStyle w:val="Normal"/>
        <w:rPr>
          <w:rFonts w:ascii="Times New Roman" w:hAnsi="Times New Roman" w:cs="Times New Roman"/>
          <w:sz w:val="24"/>
        </w:rPr>
      </w:pPr>
      <w:r>
        <w:rPr>
          <w:rFonts w:cs="Times New Roman"/>
          <w:sz w:val="24"/>
        </w:rPr>
      </w:r>
      <w:r>
        <w:br w:type="page"/>
      </w:r>
    </w:p>
    <w:p>
      <w:pPr>
        <w:pStyle w:val="Normal"/>
        <w:ind w:start="360" w:end="0"/>
        <w:jc w:val="center"/>
        <w:rPr/>
      </w:pPr>
      <w:r>
        <w:rPr/>
        <w:t>Exhibit</w:t>
      </w:r>
    </w:p>
    <w:p>
      <w:pPr>
        <w:pStyle w:val="Normal"/>
        <w:ind w:start="360" w:end="0"/>
        <w:jc w:val="center"/>
        <w:rPr/>
      </w:pPr>
      <w:r>
        <w:rPr/>
        <w:t>Target Production Cost Calculation</w:t>
      </w:r>
    </w:p>
    <w:p>
      <w:pPr>
        <w:pStyle w:val="Normal"/>
        <w:ind w:start="360" w:end="0"/>
        <w:jc w:val="both"/>
        <w:rPr/>
      </w:pPr>
      <w:r>
        <w:rPr/>
      </w:r>
    </w:p>
    <w:p>
      <w:pPr>
        <w:pStyle w:val="Normal"/>
        <w:jc w:val="both"/>
        <w:rPr/>
      </w:pPr>
      <w:r>
        <w:rPr/>
      </w:r>
    </w:p>
    <w:p>
      <w:pPr>
        <w:pStyle w:val="Normal"/>
        <w:jc w:val="both"/>
        <w:rPr/>
      </w:pPr>
      <w:r>
        <w:rPr/>
        <w:t>The Target Production Cost (TPC) is the cost of generating power from the Facilities to meet the MDEA day-ahead forecasted load over the amount provided by the long-term contracted power detailed in Exhibit.  The TPC is calculated by committing available generating assets to meet the projected load and adjusting generator output in an attempt to minimize the combined heat rate.  The TPC is calculated for each hour and a weighted average TPC is calculated for the day.  Generation is added during peak times for 16 hours if possible with a minimum run of 12 hours as specified by the Cities.</w:t>
      </w:r>
    </w:p>
    <w:p>
      <w:pPr>
        <w:pStyle w:val="Normal"/>
        <w:jc w:val="both"/>
        <w:rPr/>
      </w:pPr>
      <w:r>
        <w:rPr/>
      </w:r>
    </w:p>
    <w:p>
      <w:pPr>
        <w:pStyle w:val="BodyText"/>
        <w:jc w:val="both"/>
        <w:rPr>
          <w:rFonts w:ascii="Times New Roman" w:hAnsi="Times New Roman" w:cs="Times New Roman"/>
          <w:sz w:val="24"/>
        </w:rPr>
      </w:pPr>
      <w:r>
        <w:rPr>
          <w:rFonts w:cs="Times New Roman" w:ascii="Times New Roman" w:hAnsi="Times New Roman"/>
          <w:sz w:val="24"/>
        </w:rPr>
        <w:t>The components of the TPC include the following:</w:t>
      </w:r>
    </w:p>
    <w:p>
      <w:pPr>
        <w:pStyle w:val="BodyText"/>
        <w:jc w:val="both"/>
        <w:rPr>
          <w:rFonts w:ascii="Times New Roman" w:hAnsi="Times New Roman" w:cs="Times New Roman"/>
          <w:sz w:val="24"/>
        </w:rPr>
      </w:pPr>
      <w:r>
        <w:rPr>
          <w:rFonts w:cs="Times New Roman" w:ascii="Times New Roman" w:hAnsi="Times New Roman"/>
          <w:sz w:val="24"/>
        </w:rPr>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Forecasted load</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 xml:space="preserve">Combined heat rate </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Startup costs</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 xml:space="preserve">Variable Operation and Maintenance cost </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Minimum and preferred run times</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Gas cost</w:t>
      </w:r>
    </w:p>
    <w:p>
      <w:pPr>
        <w:pStyle w:val="BodyText"/>
        <w:jc w:val="both"/>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sz w:val="24"/>
        </w:rPr>
      </w:pPr>
      <w:r>
        <w:rPr>
          <w:rFonts w:cs="Times New Roman" w:ascii="Times New Roman" w:hAnsi="Times New Roman"/>
          <w:sz w:val="24"/>
        </w:rPr>
        <w:t>MDEA’s load is forecasted daily using the Load Projection Model.  The heat rate values for each generation unit, associated startup and variable costs are based on data received from the Cities. As additional data is collected from the Facilities during run-time conditions, the heat rate values and related costs may be adjusted during the Term of the Agreement.</w:t>
      </w:r>
    </w:p>
    <w:p>
      <w:pPr>
        <w:pStyle w:val="BodyText"/>
        <w:jc w:val="both"/>
        <w:rPr>
          <w:rFonts w:ascii="Times New Roman" w:hAnsi="Times New Roman" w:cs="Times New Roman"/>
          <w:sz w:val="24"/>
        </w:rPr>
      </w:pPr>
      <w:r>
        <w:rPr>
          <w:rFonts w:cs="Times New Roman" w:ascii="Times New Roman" w:hAnsi="Times New Roman"/>
          <w:sz w:val="24"/>
        </w:rPr>
      </w:r>
    </w:p>
    <w:p>
      <w:pPr>
        <w:pStyle w:val="Normal"/>
        <w:rPr/>
      </w:pPr>
      <w:r>
        <w:rPr/>
        <w:t>The gas cost is determined by the delivered price to each city.  The gas cost for Clarksdale is calculated based on a spot gas quote for Texas Gas Zone SL and delivered to the Clarksdale city gate.  The gas cost for Yazoo City is based on a spot gas quote for Sonat LA and delivered to the Yazoo City city gate.</w:t>
      </w:r>
    </w:p>
    <w:p>
      <w:pPr>
        <w:pStyle w:val="BodyText"/>
        <w:jc w:val="both"/>
        <w:rPr>
          <w:rFonts w:ascii="Times New Roman" w:hAnsi="Times New Roman" w:cs="Times New Roman"/>
          <w:sz w:val="24"/>
        </w:rPr>
      </w:pPr>
      <w:r>
        <w:rPr>
          <w:rFonts w:cs="Times New Roman" w:ascii="Times New Roman" w:hAnsi="Times New Roman"/>
          <w:sz w:val="24"/>
        </w:rPr>
      </w:r>
    </w:p>
    <w:p>
      <w:pPr>
        <w:pStyle w:val="BodyText2"/>
        <w:rPr/>
      </w:pPr>
      <w:r>
        <w:rPr/>
        <w:t>An Excel spreadsheet application is used to calculate the TPC based on the above information.  This spreadsheet incorporates the load forecast, long-term contracted power, and the unit characteristics and availability data.  Once the forecasted load is reduced by the long-term contracted power, generation is added until the forecasted load is matched.  Generation is added based on the available units according to the order of preference specified by the Cities as follows:  CD9, YZ1/3, CD8/6, YZ2, CD7.</w:t>
      </w:r>
    </w:p>
    <w:p>
      <w:pPr>
        <w:pStyle w:val="Normal"/>
        <w:jc w:val="both"/>
        <w:rPr/>
      </w:pPr>
      <w:r>
        <w:rPr/>
      </w:r>
    </w:p>
    <w:p>
      <w:pPr>
        <w:pStyle w:val="Normal"/>
        <w:jc w:val="both"/>
        <w:rPr/>
      </w:pPr>
      <w:r>
        <w:rPr/>
        <w:t>A generation unit can only be added if its minimum MW output is at least as much as the required generation.  For example if the forecast is for 25MW load and the long-term contracts fill in 20MW, the difference if 5MW.  The CD9, YZ1/3 and CD8/6 units cannot be used since they all have a minimum MW rating of more than 5MW.  Therefore YZ2 or CD7 would have to be used.</w:t>
      </w:r>
    </w:p>
    <w:p>
      <w:pPr>
        <w:pStyle w:val="Normal"/>
        <w:jc w:val="both"/>
        <w:rPr/>
      </w:pPr>
      <w:r>
        <w:rPr/>
      </w:r>
    </w:p>
    <w:p>
      <w:pPr>
        <w:pStyle w:val="Normal"/>
        <w:jc w:val="both"/>
        <w:rPr/>
      </w:pPr>
      <w:r>
        <w:rPr/>
        <w:t>If the required MWs are in the range of a generator, it is added by itself.  For instance, if the forecast is 35MW and the long-term contracts fill in 17MW, the difference is 18MW.  CD9 would be added to the generation stack at 18MW.</w:t>
      </w:r>
    </w:p>
    <w:p>
      <w:pPr>
        <w:pStyle w:val="Normal"/>
        <w:jc w:val="both"/>
        <w:rPr/>
      </w:pPr>
      <w:r>
        <w:rPr/>
      </w:r>
    </w:p>
    <w:p>
      <w:pPr>
        <w:pStyle w:val="BodyText2"/>
        <w:rPr/>
      </w:pPr>
      <w:r>
        <w:rPr/>
        <w:t>If two or more generators are needed to meet the forecasted load, units are dispatched at partial load, as appropriate, in an effort to minimize the combined heat rate.  For example if the forecast predicts a 45 MW load and the long-term contracts cover 10MW, the remaining load to be filled is 35 MWs.  The first unit to be added is CD9.  CD9 adds a maximum of 22 MWs leaving and additional requirement of 13 MW.  The next unit to be added would be YZ1/3.  The outputs of the two generators are then adjusted in an effort to minimize the combined heat rate for an aggregate output of 35 MW.  Once the generation is added to the stack and the load is met, the TPC is calculated for each run hour.</w:t>
      </w:r>
    </w:p>
    <w:p>
      <w:pPr>
        <w:pStyle w:val="Normal"/>
        <w:jc w:val="both"/>
        <w:rPr/>
      </w:pPr>
      <w:r>
        <w:rPr/>
        <w:t xml:space="preserve"> </w:t>
      </w:r>
    </w:p>
    <w:p>
      <w:pPr>
        <w:pStyle w:val="BodyText2"/>
        <w:rPr/>
      </w:pPr>
      <w:r>
        <w:rPr/>
        <w:t>In the example provided in Figure 1, for the hour ending at 10:00, the estimated load for MDEA is 51MWh.  14 MWh are filled by long-term contracts leaving a net load of 37 MWh.  To fill this load, CD9 is set to generate 22MW for the hour. YZ1/3 was unavailable so CD8/6 fills the balance by generating 15 MWh.  The gas price is $4.17/MMBtu.</w:t>
      </w:r>
    </w:p>
    <w:p>
      <w:pPr>
        <w:pStyle w:val="Normal"/>
        <w:rPr/>
      </w:pPr>
      <w:r>
        <w:rPr/>
      </w:r>
    </w:p>
    <w:p>
      <w:pPr>
        <w:pStyle w:val="Normal"/>
        <w:rPr/>
      </w:pPr>
      <w:r>
        <w:rPr/>
        <w:t>MWh for CD 9 = 22 MWh</w:t>
      </w:r>
    </w:p>
    <w:p>
      <w:pPr>
        <w:pStyle w:val="Normal"/>
        <w:rPr/>
      </w:pPr>
      <w:r>
        <w:rPr/>
        <w:t>Heat Rate for CD 9 at 22 MW = 11.4 MMBtu/MWh</w:t>
      </w:r>
    </w:p>
    <w:p>
      <w:pPr>
        <w:pStyle w:val="Normal"/>
        <w:rPr/>
      </w:pPr>
      <w:r>
        <w:rPr/>
        <w:t>CD 9 Run Time = 16 hrs.</w:t>
      </w:r>
    </w:p>
    <w:p>
      <w:pPr>
        <w:pStyle w:val="Normal"/>
        <w:rPr/>
      </w:pPr>
      <w:r>
        <w:rPr/>
        <w:t>Start-up cost for CD9 = $1,500</w:t>
      </w:r>
    </w:p>
    <w:p>
      <w:pPr>
        <w:pStyle w:val="Normal"/>
        <w:rPr/>
      </w:pPr>
      <w:r>
        <w:rPr/>
        <w:t>VOM for CD9 = $2.00 /MWh</w:t>
      </w:r>
    </w:p>
    <w:p>
      <w:pPr>
        <w:pStyle w:val="Normal"/>
        <w:rPr/>
      </w:pPr>
      <w:r>
        <w:rPr/>
      </w:r>
    </w:p>
    <w:p>
      <w:pPr>
        <w:pStyle w:val="Normal"/>
        <w:rPr/>
      </w:pPr>
      <w:r>
        <w:rPr/>
        <w:t>MWh for CD 8/6 = 15 MWh</w:t>
      </w:r>
    </w:p>
    <w:p>
      <w:pPr>
        <w:pStyle w:val="Normal"/>
        <w:rPr/>
      </w:pPr>
      <w:r>
        <w:rPr/>
        <w:t>Heat Rate for CD8/6 at 15MW = 12.4 MMBtu/MWh</w:t>
      </w:r>
    </w:p>
    <w:p>
      <w:pPr>
        <w:pStyle w:val="Normal"/>
        <w:rPr/>
      </w:pPr>
      <w:r>
        <w:rPr/>
        <w:t>CD 8/6 Run Time = 16 hrs.</w:t>
      </w:r>
    </w:p>
    <w:p>
      <w:pPr>
        <w:pStyle w:val="Normal"/>
        <w:rPr/>
      </w:pPr>
      <w:r>
        <w:rPr/>
        <w:t>Start-up cost for CD 8/6 = $1,500</w:t>
      </w:r>
    </w:p>
    <w:p>
      <w:pPr>
        <w:pStyle w:val="Normal"/>
        <w:rPr/>
      </w:pPr>
      <w:r>
        <w:rPr/>
        <w:t>VOM for CD 8/6 = $2.00/MWh</w:t>
      </w:r>
    </w:p>
    <w:p>
      <w:pPr>
        <w:pStyle w:val="Normal"/>
        <w:rPr/>
      </w:pPr>
      <w:r>
        <w:rPr/>
      </w:r>
    </w:p>
    <w:p>
      <w:pPr>
        <w:pStyle w:val="Normal"/>
        <w:rPr/>
      </w:pPr>
      <w:r>
        <w:rPr/>
        <w:t>CD 9 Gas Cost =  $4.17/MMBtu * 11.4MMBtu/MWh * 22MWh</w:t>
      </w:r>
    </w:p>
    <w:p>
      <w:pPr>
        <w:pStyle w:val="Normal"/>
        <w:rPr/>
      </w:pPr>
      <w:r>
        <w:rPr/>
        <w:tab/>
        <w:t xml:space="preserve">    </w:t>
        <w:tab/>
        <w:t xml:space="preserve"> =  $1045.84 for the hour</w:t>
      </w:r>
    </w:p>
    <w:p>
      <w:pPr>
        <w:pStyle w:val="Normal"/>
        <w:rPr/>
      </w:pPr>
      <w:r>
        <w:rPr/>
        <w:t>CD 9 Amortized Start-up Cost/h =  $1500/16h =  $93.75/h</w:t>
      </w:r>
    </w:p>
    <w:p>
      <w:pPr>
        <w:pStyle w:val="Normal"/>
        <w:rPr/>
      </w:pPr>
      <w:r>
        <w:rPr/>
        <w:t>CD 9 VOM/h</w:t>
        <w:tab/>
        <w:t>= $2.00 * 22/MWh = $44.00/h</w:t>
      </w:r>
    </w:p>
    <w:p>
      <w:pPr>
        <w:pStyle w:val="BodyText2"/>
        <w:rPr/>
      </w:pPr>
      <w:r>
        <w:rPr/>
        <w:t xml:space="preserve">CD 9 Gen Cost = Gas Cost + Amortized Start-up Cost + Fixed VOM </w:t>
        <w:tab/>
        <w:tab/>
        <w:tab/>
        <w:tab/>
        <w:tab/>
        <w:t>= $1045.84 + $93.75 + $44.00</w:t>
      </w:r>
    </w:p>
    <w:p>
      <w:pPr>
        <w:pStyle w:val="Normal"/>
        <w:rPr/>
      </w:pPr>
      <w:r>
        <w:rPr/>
        <w:tab/>
        <w:tab/>
        <w:t>= $1183.59</w:t>
      </w:r>
    </w:p>
    <w:p>
      <w:pPr>
        <w:pStyle w:val="Normal"/>
        <w:rPr/>
      </w:pPr>
      <w:r>
        <w:rPr/>
      </w:r>
    </w:p>
    <w:p>
      <w:pPr>
        <w:pStyle w:val="Normal"/>
        <w:rPr/>
      </w:pPr>
      <w:r>
        <w:rPr/>
        <w:t>CD 8/6 Gas Cost/MWh =  $4.17/MMBtu * 12.4 MMBtu/MWh * 15MWh</w:t>
      </w:r>
    </w:p>
    <w:p>
      <w:pPr>
        <w:pStyle w:val="Normal"/>
        <w:rPr/>
      </w:pPr>
      <w:r>
        <w:rPr/>
        <w:tab/>
        <w:tab/>
        <w:tab/>
        <w:t>=  $775.62 for the hour</w:t>
      </w:r>
    </w:p>
    <w:p>
      <w:pPr>
        <w:pStyle w:val="Normal"/>
        <w:rPr/>
      </w:pPr>
      <w:r>
        <w:rPr/>
        <w:t>CD 8/6 Amortized Start-up Cost/MWH =  $1500/16Hrs =  $93.75/h</w:t>
      </w:r>
    </w:p>
    <w:p>
      <w:pPr>
        <w:pStyle w:val="Normal"/>
        <w:rPr/>
      </w:pPr>
      <w:r>
        <w:rPr/>
        <w:t>CD 8/6 VOM/h = $2.00 * 15/MWh = $30.00 /h</w:t>
      </w:r>
    </w:p>
    <w:p>
      <w:pPr>
        <w:pStyle w:val="Normal"/>
        <w:rPr/>
      </w:pPr>
      <w:r>
        <w:rPr/>
        <w:t>CD8/6 Gen Cost = GasCost + Amortized Start-up Cost + Fixed VOM</w:t>
      </w:r>
    </w:p>
    <w:p>
      <w:pPr>
        <w:pStyle w:val="Normal"/>
        <w:rPr/>
      </w:pPr>
      <w:r>
        <w:rPr/>
        <w:tab/>
        <w:tab/>
        <w:t>= $775.62 + $93.75 + $30.00</w:t>
      </w:r>
    </w:p>
    <w:p>
      <w:pPr>
        <w:pStyle w:val="xl28"/>
        <w:pBdr>
          <w:bottom w:val="nil"/>
        </w:pBdr>
        <w:spacing w:before="0" w:after="0"/>
        <w:rPr>
          <w:rFonts w:ascii="Times New Roman" w:hAnsi="Times New Roman" w:eastAsia="Times New Roman" w:cs="Times New Roman"/>
        </w:rPr>
      </w:pPr>
      <w:r>
        <w:rPr>
          <w:rFonts w:eastAsia="Times New Roman" w:cs="Times New Roman" w:ascii="Times New Roman" w:hAnsi="Times New Roman"/>
        </w:rPr>
        <w:tab/>
        <w:tab/>
        <w:t>= $899.37</w:t>
      </w:r>
    </w:p>
    <w:p>
      <w:pPr>
        <w:pStyle w:val="Normal"/>
        <w:rPr>
          <w:rFonts w:ascii="Times New Roman" w:hAnsi="Times New Roman" w:eastAsia="Times New Roman" w:cs="Times New Roman"/>
        </w:rPr>
      </w:pPr>
      <w:r>
        <w:rPr>
          <w:rFonts w:eastAsia="Times New Roman" w:cs="Times New Roman"/>
        </w:rPr>
      </w:r>
    </w:p>
    <w:p>
      <w:pPr>
        <w:pStyle w:val="Normal"/>
        <w:rPr/>
      </w:pPr>
      <w:r>
        <w:rPr/>
        <w:t>Total Cost = CD9 Cost + CD8/6 Cost = $1183.59 + $899.37 = $2082.96</w:t>
      </w:r>
    </w:p>
    <w:p>
      <w:pPr>
        <w:pStyle w:val="Normal"/>
        <w:rPr/>
      </w:pPr>
      <w:r>
        <w:rPr/>
      </w:r>
    </w:p>
    <w:p>
      <w:pPr>
        <w:pStyle w:val="Normal"/>
        <w:rPr/>
      </w:pPr>
      <w:r>
        <w:rPr/>
        <w:t>Combined Cost/MWh</w:t>
        <w:tab/>
        <w:t xml:space="preserve">= Total Cost for the Hour/MWh </w:t>
      </w:r>
    </w:p>
    <w:p>
      <w:pPr>
        <w:pStyle w:val="Normal"/>
        <w:rPr/>
      </w:pPr>
      <w:r>
        <w:rPr/>
        <w:tab/>
        <w:tab/>
        <w:tab/>
        <w:t>= $2082.96 / 37MWh</w:t>
      </w:r>
    </w:p>
    <w:p>
      <w:pPr>
        <w:pStyle w:val="Normal"/>
        <w:rPr/>
      </w:pPr>
      <w:r>
        <w:rPr/>
        <w:tab/>
        <w:tab/>
        <w:tab/>
        <w:t>= $56.30/MWh</w:t>
      </w:r>
    </w:p>
    <w:p>
      <w:pPr>
        <w:pStyle w:val="Normal"/>
        <w:rPr/>
      </w:pPr>
      <w:r>
        <w:rPr/>
      </w:r>
    </w:p>
    <w:p>
      <w:pPr>
        <w:pStyle w:val="BodyText2"/>
        <w:rPr/>
      </w:pPr>
      <w:r>
        <w:rPr/>
        <w:t>The generation cost per MWh of $56.30 is for the hour ending at 10:00.  Typical calculations will be completed for each hour of the day.  The daily TPC is a weighted average of the total costs divided by total MWh.  To get the daily TPC, the total hourly costs are added up for the day and are divided by the total MWh generated.  In this example, the total generation cost for the day was $31,388.56 and the total generation was 554 MWh.  The TPC for the day was $31,388.56/554 MWh or $56.66/MWh.</w:t>
      </w:r>
    </w:p>
    <w:p>
      <w:pPr>
        <w:pStyle w:val="BodyText2"/>
        <w:rPr/>
      </w:pPr>
      <w:r>
        <w:rPr/>
      </w:r>
    </w:p>
    <w:p>
      <w:pPr>
        <w:pStyle w:val="BodyText2"/>
        <w:jc w:val="center"/>
        <w:rPr/>
      </w:pPr>
      <w:r>
        <w:rPr/>
        <w:t>Figure 1</w:t>
      </w:r>
    </w:p>
    <w:p>
      <w:pPr>
        <w:pStyle w:val="BodyText2"/>
        <w:jc w:val="center"/>
        <w:rPr/>
      </w:pPr>
      <w:r>
        <w:rPr/>
        <w:t>Target Production Cost Example Calculation</w:t>
      </w:r>
    </w:p>
    <w:p>
      <w:pPr>
        <w:pStyle w:val="BodyText2"/>
        <w:rPr/>
      </w:pPr>
      <w:r>
        <w:rPr/>
        <w:drawing>
          <wp:inline distT="0" distB="0" distL="0" distR="0">
            <wp:extent cx="5158105" cy="37763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158105" cy="3776345"/>
                    </a:xfrm>
                    <a:prstGeom prst="rect">
                      <a:avLst/>
                    </a:prstGeom>
                    <a:noFill/>
                  </pic:spPr>
                </pic:pic>
              </a:graphicData>
            </a:graphic>
          </wp:inline>
        </w:drawing>
      </w:r>
    </w:p>
    <w:p>
      <w:pPr>
        <w:pStyle w:val="Normal"/>
        <w:rPr/>
      </w:pPr>
      <w:r>
        <w:rPr/>
      </w:r>
    </w:p>
    <w:p>
      <w:pPr>
        <w:pStyle w:val="Normal"/>
        <w:rPr>
          <w:rFonts w:ascii="Palatino Linotype" w:hAnsi="Palatino Linotype" w:cs="Palatino Linotype"/>
          <w:sz w:val="20"/>
        </w:rPr>
      </w:pPr>
      <w:r>
        <w:rPr>
          <w:rFonts w:cs="Palatino Linotype" w:ascii="Palatino Linotype" w:hAnsi="Palatino Linotype"/>
          <w:sz w:val="20"/>
        </w:rPr>
      </w:r>
    </w:p>
    <w:p>
      <w:pPr>
        <w:pStyle w:val="Normal"/>
        <w:ind w:start="360" w:end="0"/>
        <w:jc w:val="center"/>
        <w:rPr/>
      </w:pPr>
      <w:bookmarkStart w:id="0" w:name="_1053356143"/>
      <w:bookmarkEnd w:id="0"/>
      <w:r>
        <w:rPr/>
        <w:object w:dxaOrig="10966" w:dyaOrig="408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48.8pt;height:204.25pt" filled="f" o:ole="">
            <v:imagedata r:id="rId4" o:title=""/>
          </v:shape>
          <o:OLEObject Type="Embed" ProgID="" ShapeID="ole_rId3" DrawAspect="Content" ObjectID="_2115198355" r:id="rId3"/>
        </w:object>
      </w:r>
    </w:p>
    <w:p>
      <w:pPr>
        <w:pStyle w:val="Normal"/>
        <w:ind w:start="360" w:end="0"/>
        <w:rPr/>
      </w:pPr>
      <w:r>
        <w:rPr/>
      </w:r>
    </w:p>
    <w:sectPr>
      <w:type w:val="nextPage"/>
      <w:pgSz w:w="12240" w:h="15840"/>
      <w:pgMar w:left="144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7">
    <w:name w:val="heading 7"/>
    <w:basedOn w:val="Normal"/>
    <w:next w:val="Normal"/>
    <w:qFormat/>
    <w:pPr>
      <w:keepNext w:val="true"/>
      <w:numPr>
        <w:ilvl w:val="6"/>
        <w:numId w:val="1"/>
      </w:numPr>
      <w:outlineLvl w:val="6"/>
    </w:pPr>
    <w:rPr>
      <w:b/>
      <w:bCs/>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style>
  <w:style w:type="character" w:styleId="WW8Num70z0">
    <w:name w:val="WW8Num70z0"/>
    <w:qFormat/>
    <w:rPr/>
  </w:style>
  <w:style w:type="character" w:styleId="WW8Num71z0">
    <w:name w:val="WW8Num71z0"/>
    <w:qFormat/>
    <w:rPr>
      <w:rFonts w:ascii="Times New Roman Bold;Times New Roman" w:hAnsi="Times New Roman Bold;Times New Roman" w:cs="BauerBodoni-Bold;Arial Rounded MT Bold"/>
      <w:b/>
      <w:i w:val="false"/>
      <w:sz w:val="24"/>
    </w:rPr>
  </w:style>
  <w:style w:type="character" w:styleId="WW8Num71z1">
    <w:name w:val="WW8Num71z1"/>
    <w:qFormat/>
    <w:rPr>
      <w:rFonts w:ascii="Times New Roman" w:hAnsi="Times New Roman" w:cs="Times New Roman"/>
      <w:b w:val="false"/>
      <w:i w:val="false"/>
      <w:sz w:val="24"/>
    </w:rPr>
  </w:style>
  <w:style w:type="character" w:styleId="WW8Num72z0">
    <w:name w:val="WW8Num72z0"/>
    <w:qFormat/>
    <w:rPr/>
  </w:style>
  <w:style w:type="character" w:styleId="WW8Num73z0">
    <w:name w:val="WW8Num73z0"/>
    <w:qFormat/>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b w:val="false"/>
      <w:i w:val="false"/>
    </w:rPr>
  </w:style>
  <w:style w:type="character" w:styleId="WW8Num82z2">
    <w:name w:val="WW8Num82z2"/>
    <w:qFormat/>
    <w:rPr/>
  </w:style>
  <w:style w:type="character" w:styleId="WW8Num83z0">
    <w:name w:val="WW8Num83z0"/>
    <w:qFormat/>
    <w:rPr/>
  </w:style>
  <w:style w:type="character" w:styleId="WW8Num84z0">
    <w:name w:val="WW8Num84z0"/>
    <w:qFormat/>
    <w:rPr>
      <w:b w:val="false"/>
      <w:i w:val="false"/>
    </w:rPr>
  </w:style>
  <w:style w:type="character" w:styleId="WW8Num84z2">
    <w:name w:val="WW8Num84z2"/>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89z1">
    <w:name w:val="WW8Num89z1"/>
    <w:qFormat/>
    <w:rPr>
      <w:b w:val="false"/>
      <w:i w:val="false"/>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rFonts w:ascii="Times" w:hAnsi="Times" w:cs="Times"/>
      <w:b/>
      <w:i w:val="false"/>
      <w:sz w:val="24"/>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b w:val="false"/>
      <w:i w:val="false"/>
    </w:rPr>
  </w:style>
  <w:style w:type="character" w:styleId="WW8Num101z2">
    <w:name w:val="WW8Num101z2"/>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val="false"/>
      <w:i w:val="false"/>
    </w:rPr>
  </w:style>
  <w:style w:type="character" w:styleId="WW8Num118z1">
    <w:name w:val="WW8Num118z1"/>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style>
  <w:style w:type="character" w:styleId="WW8Num124z0">
    <w:name w:val="WW8Num124z0"/>
    <w:qFormat/>
    <w:rPr>
      <w:rFonts w:ascii="Times New Roman" w:hAnsi="Times New Roman" w:cs="Times New Roman"/>
      <w:b w:val="false"/>
      <w:i w:val="false"/>
      <w:sz w:val="24"/>
    </w:rPr>
  </w:style>
  <w:style w:type="character" w:styleId="WW8Num124z1">
    <w:name w:val="WW8Num124z1"/>
    <w:qFormat/>
    <w:rPr/>
  </w:style>
  <w:style w:type="character" w:styleId="WW8Num125z0">
    <w:name w:val="WW8Num125z0"/>
    <w:qFormat/>
    <w:rPr>
      <w:b w:val="false"/>
      <w:i w:val="false"/>
    </w:rPr>
  </w:style>
  <w:style w:type="character" w:styleId="WW8Num125z2">
    <w:name w:val="WW8Num125z2"/>
    <w:qFormat/>
    <w:rPr/>
  </w:style>
  <w:style w:type="character" w:styleId="WW8Num126z0">
    <w:name w:val="WW8Num126z0"/>
    <w:qFormat/>
    <w:rPr>
      <w:b w:val="false"/>
      <w:i w:val="false"/>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3z1">
    <w:name w:val="WW8Num133z1"/>
    <w:qFormat/>
    <w:rPr>
      <w:b w:val="false"/>
      <w:i w:val="false"/>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b w:val="false"/>
      <w:i w:val="false"/>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b w:val="false"/>
      <w:i w:val="false"/>
      <w:caps/>
      <w:strike w:val="false"/>
      <w:dstrike w:val="false"/>
      <w:outline w:val="false"/>
      <w:shadow w:val="false"/>
      <w:vanish w:val="false"/>
      <w:color w:val="auto"/>
      <w:position w:val="0"/>
      <w:sz w:val="24"/>
      <w:u w:val="none"/>
      <w:vertAlign w:val="baseline"/>
    </w:rPr>
  </w:style>
  <w:style w:type="character" w:styleId="WW8Num142z1">
    <w:name w:val="WW8Num14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5z1">
    <w:name w:val="WW8Num145z1"/>
    <w:qFormat/>
    <w:rPr>
      <w:b w:val="false"/>
      <w:i w:val="false"/>
    </w:rPr>
  </w:style>
  <w:style w:type="character" w:styleId="WW8Num146z0">
    <w:name w:val="WW8Num146z0"/>
    <w:qFormat/>
    <w:rPr/>
  </w:style>
  <w:style w:type="character" w:styleId="WW8Num146z1">
    <w:name w:val="WW8Num146z1"/>
    <w:qFormat/>
    <w:rPr>
      <w:b w:val="false"/>
      <w:i w:val="false"/>
    </w:rPr>
  </w:style>
  <w:style w:type="character" w:styleId="WW8Num147z0">
    <w:name w:val="WW8Num147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5z0">
    <w:name w:val="WW8Num155z0"/>
    <w:qFormat/>
    <w:rPr>
      <w:b w:val="false"/>
    </w:rPr>
  </w:style>
  <w:style w:type="character" w:styleId="WW8Num157z0">
    <w:name w:val="WW8Num157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6z1">
    <w:name w:val="WW8Num166z1"/>
    <w:qFormat/>
    <w:rPr>
      <w:rFonts w:ascii="Times New Roman" w:hAnsi="Times New Roman" w:cs="Times New Roman"/>
      <w:sz w:val="24"/>
    </w:rPr>
  </w:style>
  <w:style w:type="character" w:styleId="WW8Num167z0">
    <w:name w:val="WW8Num167z0"/>
    <w:qFormat/>
    <w:rPr/>
  </w:style>
  <w:style w:type="character" w:styleId="WW8Num167z1">
    <w:name w:val="WW8Num167z1"/>
    <w:qFormat/>
    <w:rPr>
      <w:b w:val="false"/>
      <w:i w:val="false"/>
    </w:rPr>
  </w:style>
  <w:style w:type="character" w:styleId="WW8Num168z0">
    <w:name w:val="WW8Num168z0"/>
    <w:qFormat/>
    <w:rPr>
      <w:rFonts w:ascii="Times New Roman" w:hAnsi="Times New Roman" w:cs="Times New Roman"/>
      <w:b w:val="false"/>
      <w:i w:val="false"/>
      <w:sz w:val="24"/>
    </w:rPr>
  </w:style>
  <w:style w:type="character" w:styleId="WW8Num168z1">
    <w:name w:val="WW8Num168z1"/>
    <w:qFormat/>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style>
  <w:style w:type="character" w:styleId="WW8Num171z1">
    <w:name w:val="WW8Num171z1"/>
    <w:qFormat/>
    <w:rPr>
      <w:b w:val="false"/>
      <w:i w:val="false"/>
    </w:rPr>
  </w:style>
  <w:style w:type="character" w:styleId="WW8Num172z0">
    <w:name w:val="WW8Num172z0"/>
    <w:qFormat/>
    <w:rPr>
      <w:rFonts w:ascii="Times New Roman" w:hAnsi="Times New Roman" w:cs="Times New Roman"/>
      <w:b w:val="false"/>
      <w:i w:val="false"/>
      <w:sz w:val="24"/>
      <w:u w:val="none"/>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8z0">
    <w:name w:val="WW8Num178z0"/>
    <w:qFormat/>
    <w:rPr/>
  </w:style>
  <w:style w:type="character" w:styleId="WW8Num179z0">
    <w:name w:val="WW8Num179z0"/>
    <w:qFormat/>
    <w:rPr>
      <w:rFonts w:ascii="Times New Roman" w:hAnsi="Times New Roman" w:cs="Times New Roman"/>
      <w:b w:val="false"/>
      <w:i w:val="false"/>
      <w:sz w:val="24"/>
      <w:u w:val="none"/>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style>
  <w:style w:type="character" w:styleId="WW8Num195z1">
    <w:name w:val="WW8Num195z1"/>
    <w:qFormat/>
    <w:rPr>
      <w:b w:val="false"/>
      <w:i w:val="false"/>
    </w:rPr>
  </w:style>
  <w:style w:type="character" w:styleId="WW8Num196z0">
    <w:name w:val="WW8Num196z0"/>
    <w:qFormat/>
    <w:rPr>
      <w:rFonts w:ascii="Times New Roman" w:hAnsi="Times New Roman" w:cs="Times New Roman"/>
      <w:b w:val="false"/>
      <w:i w:val="false"/>
      <w:sz w:val="24"/>
      <w:u w:val="none"/>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Times New Roman" w:hAnsi="Times New Roman" w:cs="Times New Roman"/>
      <w:b/>
      <w:i w:val="false"/>
      <w:caps/>
      <w:sz w:val="24"/>
    </w:rPr>
  </w:style>
  <w:style w:type="character" w:styleId="WW8Num205z1">
    <w:name w:val="WW8Num205z1"/>
    <w:qFormat/>
    <w:rPr>
      <w:rFonts w:ascii="Times New Roman" w:hAnsi="Times New Roman" w:cs="Times New Roman"/>
      <w:b w:val="false"/>
      <w:i w:val="false"/>
      <w:sz w:val="24"/>
      <w:u w:val="none"/>
    </w:rPr>
  </w:style>
  <w:style w:type="character" w:styleId="WW8Num205z2">
    <w:name w:val="WW8Num205z2"/>
    <w:qFormat/>
    <w:rPr>
      <w:rFonts w:ascii="Times New Roman" w:hAnsi="Times New Roman" w:cs="Times New Roman"/>
      <w:b w:val="false"/>
      <w:i w:val="false"/>
      <w:sz w:val="24"/>
    </w:rPr>
  </w:style>
  <w:style w:type="character" w:styleId="WW8Num205z5">
    <w:name w:val="WW8Num205z5"/>
    <w:qFormat/>
    <w:rPr>
      <w:rFonts w:ascii="Times New Roman" w:hAnsi="Times New Roman" w:cs="Times New Roman"/>
      <w:b/>
      <w:i w:val="false"/>
      <w:sz w:val="24"/>
      <w:u w:val="none"/>
    </w:rPr>
  </w:style>
  <w:style w:type="character" w:styleId="WW8Num206z0">
    <w:name w:val="WW8Num206z0"/>
    <w:qFormat/>
    <w:rPr/>
  </w:style>
  <w:style w:type="character" w:styleId="WW8Num207z0">
    <w:name w:val="WW8Num207z0"/>
    <w:qFormat/>
    <w:rPr>
      <w:i w:val="false"/>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2z0">
    <w:name w:val="WW8Num222z0"/>
    <w:qFormat/>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5z0">
    <w:name w:val="WW8Num225z0"/>
    <w:qFormat/>
    <w:rPr/>
  </w:style>
  <w:style w:type="character" w:styleId="WW8Num226z0">
    <w:name w:val="WW8Num226z0"/>
    <w:qFormat/>
    <w:rPr>
      <w:rFonts w:ascii="Symbol" w:hAnsi="Symbol" w:cs="Symbol"/>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rFonts w:ascii="Times New Roman" w:hAnsi="Times New Roman" w:cs="Times New Roman"/>
      <w:b w:val="false"/>
      <w:i w:val="false"/>
      <w:sz w:val="24"/>
    </w:rPr>
  </w:style>
  <w:style w:type="character" w:styleId="WW8Num231z1">
    <w:name w:val="WW8Num231z1"/>
    <w:qFormat/>
    <w:rPr/>
  </w:style>
  <w:style w:type="character" w:styleId="WW8Num232z0">
    <w:name w:val="WW8Num232z0"/>
    <w:qFormat/>
    <w:rPr>
      <w:rFonts w:ascii="Symbol" w:hAnsi="Symbol" w:cs="Symbol"/>
    </w:rPr>
  </w:style>
  <w:style w:type="character" w:styleId="WW8Num233z0">
    <w:name w:val="WW8Num233z0"/>
    <w:qFormat/>
    <w:rPr/>
  </w:style>
  <w:style w:type="character" w:styleId="WW8Num233z1">
    <w:name w:val="WW8Num233z1"/>
    <w:qFormat/>
    <w:rPr>
      <w:rFonts w:ascii="Times New Roman" w:hAnsi="Times New Roman" w:cs="Times New Roman"/>
      <w:sz w:val="24"/>
    </w:rPr>
  </w:style>
  <w:style w:type="character" w:styleId="WW8Num234z0">
    <w:name w:val="WW8Num234z0"/>
    <w:qFormat/>
    <w:rPr>
      <w:u w:val="single"/>
    </w:rPr>
  </w:style>
  <w:style w:type="character" w:styleId="WW8Num235z0">
    <w:name w:val="WW8Num235z0"/>
    <w:qFormat/>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b w:val="false"/>
      <w:i w:val="false"/>
    </w:rPr>
  </w:style>
  <w:style w:type="character" w:styleId="WW8Num237z2">
    <w:name w:val="WW8Num237z2"/>
    <w:qFormat/>
    <w:rPr/>
  </w:style>
  <w:style w:type="character" w:styleId="WW8Num238z0">
    <w:name w:val="WW8Num238z0"/>
    <w:qFormat/>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rFonts w:ascii="Symbol" w:hAnsi="Symbol" w:cs="Symbol"/>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7z1">
    <w:name w:val="WW8Num247z1"/>
    <w:qFormat/>
    <w:rPr>
      <w:b w:val="false"/>
      <w:i w:val="false"/>
    </w:rPr>
  </w:style>
  <w:style w:type="character" w:styleId="WW8Num248z0">
    <w:name w:val="WW8Num248z0"/>
    <w:qFormat/>
    <w:rPr/>
  </w:style>
  <w:style w:type="character" w:styleId="WW8Num249z0">
    <w:name w:val="WW8Num249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b w:val="false"/>
      <w:u w:val="none"/>
    </w:rPr>
  </w:style>
  <w:style w:type="character" w:styleId="WW8Num259z0">
    <w:name w:val="WW8Num259z0"/>
    <w:qFormat/>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b w:val="false"/>
      <w:i w:val="false"/>
    </w:rPr>
  </w:style>
  <w:style w:type="character" w:styleId="WW8Num271z2">
    <w:name w:val="WW8Num271z2"/>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8z0">
    <w:name w:val="WW8Num278z0"/>
    <w:qFormat/>
    <w:rPr/>
  </w:style>
  <w:style w:type="character" w:styleId="WW8Num279z0">
    <w:name w:val="WW8Num279z0"/>
    <w:qFormat/>
    <w:rPr/>
  </w:style>
  <w:style w:type="character" w:styleId="WW8Num280z0">
    <w:name w:val="WW8Num280z0"/>
    <w:qFormat/>
    <w:rPr/>
  </w:style>
  <w:style w:type="character" w:styleId="WW8Num281z0">
    <w:name w:val="WW8Num281z0"/>
    <w:qFormat/>
    <w:rPr/>
  </w:style>
  <w:style w:type="character" w:styleId="WW8Num283z0">
    <w:name w:val="WW8Num283z0"/>
    <w:qFormat/>
    <w:rPr/>
  </w:style>
  <w:style w:type="character" w:styleId="WW8Num284z0">
    <w:name w:val="WW8Num284z0"/>
    <w:qFormat/>
    <w:rPr/>
  </w:style>
  <w:style w:type="character" w:styleId="WW8NumSt33z0">
    <w:name w:val="WW8NumSt33z0"/>
    <w:qFormat/>
    <w:rPr>
      <w:rFonts w:ascii="Symbol" w:hAnsi="Symbol" w:cs="Symbol"/>
    </w:rPr>
  </w:style>
  <w:style w:type="character" w:styleId="WW8NumSt57z0">
    <w:name w:val="WW8NumSt57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Palatino Linotype" w:hAnsi="Palatino Linotype" w:cs="Palatino Linotype"/>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BodyText2">
    <w:name w:val="Body Text 2"/>
    <w:basedOn w:val="Normal"/>
    <w:qFormat/>
    <w:pPr>
      <w:jc w:val="both"/>
    </w:pPr>
    <w:rPr/>
  </w:style>
  <w:style w:type="paragraph" w:styleId="BodyText3">
    <w:name w:val="Body Text 3"/>
    <w:basedOn w:val="Normal"/>
    <w:qFormat/>
    <w:pPr>
      <w:jc w:val="both"/>
    </w:pPr>
    <w:rPr>
      <w:rFonts w:ascii="Palatino Linotype" w:hAnsi="Palatino Linotype" w:cs="Palatino Linotype"/>
      <w:sz w:val="20"/>
    </w:rPr>
  </w:style>
  <w:style w:type="paragraph" w:styleId="xl28">
    <w:name w:val="xl28"/>
    <w:basedOn w:val="Normal"/>
    <w:qFormat/>
    <w:pPr>
      <w:pBdr>
        <w:bottom w:val="single" w:sz="4" w:space="0" w:color="000000"/>
      </w:pBd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2001-06-28T11:51:00Z</dcterms:created>
  <dc:creator>rrorscha</dc:creator>
  <dc:description/>
  <dc:language>en-CA</dc:language>
  <cp:lastModifiedBy>rrorscha</cp:lastModifiedBy>
  <cp:lastPrinted>2001-06-28T11:04:00Z</cp:lastPrinted>
  <dcterms:modified xsi:type="dcterms:W3CDTF">2001-06-28T16:13:00Z</dcterms:modified>
  <cp:revision>10</cp:revision>
  <dc:subject/>
  <dc:title>Existing Contracted Resources Power and Gas</dc:title>
</cp:coreProperties>
</file>