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/>
        <w:drawing>
          <wp:inline distT="0" distB="0" distL="0" distR="0">
            <wp:extent cx="1139190" cy="11347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StartOfMemo"/>
      <w:bookmarkEnd w:id="0"/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tbl>
      <w:tblPr>
        <w:tblW w:w="10926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5812"/>
        <w:gridCol w:w="1417"/>
        <w:gridCol w:w="2655"/>
      </w:tblGrid>
      <w:tr>
        <w:trPr>
          <w:trHeight w:val="400" w:hRule="atLeast"/>
        </w:trPr>
        <w:tc>
          <w:tcPr>
            <w:tcW w:w="1042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5812" w:type="dxa"/>
            <w:tcBorders/>
          </w:tcPr>
          <w:p>
            <w:pPr>
              <w:pStyle w:val="To"/>
              <w:rPr/>
            </w:pPr>
            <w:r>
              <w:rPr/>
              <w:t>John Sheriff</w:t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1417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655" w:type="dxa"/>
            <w:tcBorders/>
          </w:tcPr>
          <w:p>
            <w:pPr>
              <w:pStyle w:val="Date"/>
              <w:rPr/>
            </w:pPr>
            <w:r>
              <w:rPr/>
              <w:t>13 November, 2001</w:t>
            </w:r>
          </w:p>
        </w:tc>
      </w:tr>
      <w:tr>
        <w:trPr>
          <w:trHeight w:val="400" w:hRule="atLeast"/>
        </w:trPr>
        <w:tc>
          <w:tcPr>
            <w:tcW w:w="1042" w:type="dxa"/>
            <w:tcBorders/>
          </w:tcPr>
          <w:p>
            <w:pPr>
              <w:pStyle w:val="Normal"/>
              <w:jc w:val="end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5812" w:type="dxa"/>
            <w:tcBorders/>
          </w:tcPr>
          <w:p>
            <w:pPr>
              <w:pStyle w:val="From"/>
              <w:rPr/>
            </w:pPr>
            <w:r>
              <w:rPr/>
              <w:t>Ankush Sen</w:t>
            </w:r>
          </w:p>
          <w:p>
            <w:pPr>
              <w:pStyle w:val="From"/>
              <w:rPr/>
            </w:pPr>
            <w:r>
              <w:rPr/>
            </w:r>
          </w:p>
        </w:tc>
        <w:tc>
          <w:tcPr>
            <w:tcW w:w="1417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Department:</w:t>
            </w:r>
          </w:p>
        </w:tc>
        <w:tc>
          <w:tcPr>
            <w:tcW w:w="265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ECT-Europe</w:t>
            </w:r>
          </w:p>
        </w:tc>
      </w:tr>
      <w:tr>
        <w:trPr>
          <w:trHeight w:val="400" w:hRule="atLeast"/>
        </w:trPr>
        <w:tc>
          <w:tcPr>
            <w:tcW w:w="1042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CC:</w:t>
            </w:r>
          </w:p>
        </w:tc>
        <w:tc>
          <w:tcPr>
            <w:tcW w:w="5812" w:type="dxa"/>
            <w:tcBorders/>
          </w:tcPr>
          <w:p>
            <w:pPr>
              <w:pStyle w:val="Subject"/>
              <w:rPr/>
            </w:pPr>
            <w:r>
              <w:rPr/>
              <w:t>Ted Murphy, Mike Farmer, Mike Hutchinson, Mike Jordan</w:t>
            </w:r>
          </w:p>
          <w:p>
            <w:pPr>
              <w:pStyle w:val="Subjec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</w:tc>
        <w:tc>
          <w:tcPr>
            <w:tcW w:w="2655" w:type="dxa"/>
            <w:tcBorders/>
          </w:tcPr>
          <w:p>
            <w:pPr>
              <w:pStyle w:val="Dat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1042" w:type="dxa"/>
            <w:tcBorders/>
          </w:tcPr>
          <w:p>
            <w:pPr>
              <w:pStyle w:val="Normal"/>
              <w:ind w:start="-180" w:end="0"/>
              <w:jc w:val="end"/>
              <w:rPr>
                <w:sz w:val="20"/>
              </w:rPr>
            </w:pPr>
            <w:r>
              <w:rPr>
                <w:sz w:val="20"/>
              </w:rPr>
              <w:t>Subject:</w:t>
            </w:r>
          </w:p>
        </w:tc>
        <w:tc>
          <w:tcPr>
            <w:tcW w:w="5812" w:type="dxa"/>
            <w:tcBorders/>
          </w:tcPr>
          <w:p>
            <w:pPr>
              <w:pStyle w:val="Subjec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Risk Management Trading Policy Violation 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</w:tc>
        <w:tc>
          <w:tcPr>
            <w:tcW w:w="2655" w:type="dxa"/>
            <w:tcBorders/>
          </w:tcPr>
          <w:p>
            <w:pPr>
              <w:pStyle w:val="Dat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 xml:space="preserve">Please note the occurrence of a Risk Management Trading Policy violation with respect to the </w:t>
      </w:r>
      <w:r>
        <w:rPr>
          <w:b/>
        </w:rPr>
        <w:t xml:space="preserve">Enron Metals – </w:t>
      </w:r>
      <w:r>
        <w:rPr/>
        <w:t>One Day Loss Limit</w:t>
      </w:r>
      <w:r>
        <w:rPr>
          <w:b/>
        </w:rPr>
        <w:t xml:space="preserve"> - </w:t>
      </w:r>
      <w:r>
        <w:rPr/>
        <w:t>as of business day 13</w:t>
      </w:r>
      <w:r>
        <w:rPr>
          <w:vertAlign w:val="superscript"/>
        </w:rPr>
        <w:t>th</w:t>
      </w:r>
      <w:r>
        <w:rPr/>
        <w:t xml:space="preserve"> November 2001.</w:t>
      </w:r>
    </w:p>
    <w:p>
      <w:pPr>
        <w:pStyle w:val="Body"/>
        <w:jc w:val="both"/>
        <w:rPr/>
      </w:pPr>
      <w:r>
        <w:rPr/>
      </w:r>
    </w:p>
    <w:p>
      <w:pPr>
        <w:pStyle w:val="Body"/>
        <w:ind w:start="0" w:end="0"/>
        <w:jc w:val="both"/>
        <w:rPr>
          <w:b/>
        </w:rPr>
      </w:pPr>
      <w:r>
        <w:rPr>
          <w:b/>
        </w:rPr>
      </w:r>
    </w:p>
    <w:p>
      <w:pPr>
        <w:pStyle w:val="Body"/>
        <w:ind w:start="0" w:end="0"/>
        <w:jc w:val="both"/>
        <w:rPr/>
      </w:pPr>
      <w:r>
        <w:rPr>
          <w:b/>
        </w:rPr>
        <w:t xml:space="preserve">Occurrence: </w:t>
      </w:r>
      <w:r>
        <w:rPr/>
        <w:t>The loss for Monday the 13</w:t>
      </w:r>
      <w:r>
        <w:rPr>
          <w:vertAlign w:val="superscript"/>
        </w:rPr>
        <w:t>th</w:t>
      </w:r>
      <w:r>
        <w:rPr/>
        <w:t xml:space="preserve"> November 2001 of $(10.9m) exceeded the one day limit of $(8m) by $(2.9m) (103% of the $8m VAR Limit). 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 xml:space="preserve">This loss was generated by upward shifts in the Aluminium, Copper and Nickel curves. 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>
          <w:b/>
        </w:rPr>
      </w:pPr>
      <w:r>
        <w:rPr>
          <w:b/>
        </w:rPr>
      </w:r>
    </w:p>
    <w:p>
      <w:pPr>
        <w:pStyle w:val="Body"/>
        <w:ind w:start="0" w:end="0"/>
        <w:jc w:val="both"/>
        <w:rPr>
          <w:b/>
        </w:rPr>
      </w:pPr>
      <w:r>
        <w:rPr>
          <w:b/>
        </w:rPr>
        <w:t>Explanation:</w:t>
      </w:r>
    </w:p>
    <w:p>
      <w:pPr>
        <w:pStyle w:val="Body"/>
        <w:ind w:start="0" w:end="0"/>
        <w:jc w:val="both"/>
        <w:rPr>
          <w:b/>
        </w:rPr>
      </w:pPr>
      <w:r>
        <w:rPr>
          <w:b/>
        </w:rPr>
      </w:r>
    </w:p>
    <w:p>
      <w:pPr>
        <w:pStyle w:val="Body"/>
        <w:ind w:start="0" w:end="0"/>
        <w:jc w:val="both"/>
        <w:rPr/>
      </w:pPr>
      <w:r>
        <w:rPr>
          <w:b/>
        </w:rPr>
        <w:t>Nickel:</w:t>
      </w:r>
      <w:r>
        <w:rPr/>
        <w:t xml:space="preserve"> $(4,250,000)</w:t>
      </w:r>
    </w:p>
    <w:p>
      <w:pPr>
        <w:pStyle w:val="Body"/>
        <w:ind w:start="0" w:end="0"/>
        <w:jc w:val="both"/>
        <w:rPr/>
      </w:pPr>
      <w:r>
        <w:rPr/>
        <w:t xml:space="preserve">3 month price up $515. </w:t>
      </w:r>
      <w:r>
        <w:rPr>
          <w:i/>
        </w:rPr>
        <w:t>Outright position loss: $(4,900,000) on short 9,700t.</w:t>
      </w:r>
    </w:p>
    <w:p>
      <w:pPr>
        <w:pStyle w:val="Body"/>
        <w:ind w:start="0" w:end="0"/>
        <w:jc w:val="both"/>
        <w:rPr>
          <w:u w:val="single"/>
        </w:rPr>
      </w:pPr>
      <w:r>
        <w:rPr>
          <w:u w:val="single"/>
        </w:rPr>
      </w:r>
    </w:p>
    <w:p>
      <w:pPr>
        <w:pStyle w:val="Body"/>
        <w:ind w:start="0" w:end="0"/>
        <w:jc w:val="both"/>
        <w:rPr/>
      </w:pPr>
      <w:r>
        <w:rPr>
          <w:b/>
        </w:rPr>
        <w:t>Copper:</w:t>
      </w:r>
      <w:r>
        <w:rPr/>
        <w:t xml:space="preserve"> $(4,500,000)</w:t>
      </w:r>
    </w:p>
    <w:p>
      <w:pPr>
        <w:pStyle w:val="Body"/>
        <w:ind w:start="0" w:end="0"/>
        <w:jc w:val="both"/>
        <w:rPr/>
      </w:pPr>
      <w:r>
        <w:rPr/>
        <w:t xml:space="preserve">3 month price up $54 </w:t>
      </w:r>
      <w:r>
        <w:rPr>
          <w:i/>
        </w:rPr>
        <w:t>Outright position loss: $(5,400,000) on short 99,500t</w:t>
      </w:r>
    </w:p>
    <w:p>
      <w:pPr>
        <w:pStyle w:val="Body"/>
        <w:ind w:start="0" w:end="0"/>
        <w:jc w:val="both"/>
        <w:rPr>
          <w:iCs/>
        </w:rPr>
      </w:pPr>
      <w:r>
        <w:rPr>
          <w:iCs/>
        </w:rPr>
        <w:t>Forward P&amp;L from contango narrowing and new deals $900,000</w:t>
      </w:r>
    </w:p>
    <w:p>
      <w:pPr>
        <w:pStyle w:val="Body"/>
        <w:ind w:start="0" w:end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Body"/>
        <w:ind w:start="0" w:end="0"/>
        <w:jc w:val="both"/>
        <w:rPr/>
      </w:pPr>
      <w:r>
        <w:rPr>
          <w:b/>
        </w:rPr>
        <w:t>Aluminium:</w:t>
      </w:r>
      <w:r>
        <w:rPr/>
        <w:t xml:space="preserve"> $(1,900,000)</w:t>
      </w:r>
    </w:p>
    <w:p>
      <w:pPr>
        <w:pStyle w:val="Body"/>
        <w:ind w:start="0" w:end="0"/>
        <w:jc w:val="both"/>
        <w:rPr/>
      </w:pPr>
      <w:r>
        <w:rPr/>
        <w:t xml:space="preserve">3 month price up $43. </w:t>
      </w:r>
      <w:r>
        <w:rPr>
          <w:i/>
        </w:rPr>
        <w:t>Outright position loss: $(5,300,000) on short 123,000t.</w:t>
      </w:r>
    </w:p>
    <w:p>
      <w:pPr>
        <w:pStyle w:val="Body"/>
        <w:ind w:start="0" w:end="0"/>
        <w:jc w:val="both"/>
        <w:rPr/>
      </w:pPr>
      <w:r>
        <w:rPr/>
        <w:t xml:space="preserve">Contango for Cash to 27 month narrowed $7. </w:t>
      </w:r>
      <w:r>
        <w:rPr>
          <w:i/>
        </w:rPr>
        <w:t>Spread gain: $2,900,000 on long before short 415,000t position.</w:t>
      </w:r>
    </w:p>
    <w:p>
      <w:pPr>
        <w:pStyle w:val="Body"/>
        <w:ind w:start="0" w:end="0"/>
        <w:jc w:val="both"/>
        <w:rPr>
          <w:color w:val="808080"/>
        </w:rPr>
      </w:pPr>
      <w:r>
        <w:rPr>
          <w:color w:val="808080"/>
        </w:rPr>
      </w:r>
    </w:p>
    <w:p>
      <w:pPr>
        <w:pStyle w:val="Body"/>
        <w:ind w:start="0" w:end="0"/>
        <w:jc w:val="both"/>
        <w:rPr>
          <w:color w:val="808080"/>
        </w:rPr>
      </w:pPr>
      <w:r>
        <w:rPr>
          <w:color w:val="808080"/>
        </w:rPr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>
          <w:b/>
        </w:rPr>
      </w:pPr>
      <w:r>
        <w:rPr>
          <w:b/>
        </w:rPr>
        <w:t>Approval: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Joe Gold</w:t>
      </w:r>
    </w:p>
    <w:p>
      <w:pPr>
        <w:pStyle w:val="Body"/>
        <w:ind w:start="0" w:end="0"/>
        <w:rPr/>
      </w:pPr>
      <w:r>
        <w:rPr/>
        <w:t xml:space="preserve">President, Enron Europe Metals 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Andrew Cornfield</w:t>
      </w:r>
    </w:p>
    <w:p>
      <w:pPr>
        <w:pStyle w:val="Body"/>
        <w:ind w:start="0" w:end="0"/>
        <w:rPr/>
      </w:pPr>
      <w:r>
        <w:rPr/>
        <w:t>Director, Trading Support</w:t>
      </w:r>
    </w:p>
    <w:p>
      <w:pPr>
        <w:pStyle w:val="Body"/>
        <w:ind w:start="0" w:end="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2561590</wp:posOffset>
              </wp:positionH>
              <wp:positionV relativeFrom="paragraph">
                <wp:posOffset>99060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7.8pt;mso-position-vertical-relative:text;margin-left:201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2001-11-14T11:30:00Z</dcterms:created>
  <dc:creator>Enron Office User</dc:creator>
  <dc:description/>
  <dc:language>en-CA</dc:language>
  <cp:lastModifiedBy>asen</cp:lastModifiedBy>
  <cp:lastPrinted>2001-11-14T17:25:00Z</cp:lastPrinted>
  <dcterms:modified xsi:type="dcterms:W3CDTF">2001-11-14T15:19:00Z</dcterms:modified>
  <cp:revision>6</cp:revision>
  <dc:subject>Tractebel Meeting</dc:subject>
  <dc:title> </dc:title>
</cp:coreProperties>
</file>