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Lines/>
        <w:rPr/>
      </w:pPr>
      <w:r>
        <w:rPr/>
        <w:t>ENRON BROADBAND SERVICES, INC.</w:t>
      </w:r>
    </w:p>
    <w:p>
      <w:pPr>
        <w:pStyle w:val="Normal"/>
        <w:keepLines/>
        <w:tabs>
          <w:tab w:val="clear" w:pos="720"/>
          <w:tab w:val="decimal" w:pos="270" w:leader="none"/>
          <w:tab w:val="left" w:pos="540" w:leader="none"/>
        </w:tabs>
        <w:jc w:val="center"/>
        <w:rPr>
          <w:b/>
        </w:rPr>
      </w:pPr>
      <w:r>
        <w:rPr>
          <w:b/>
        </w:rPr>
        <w:t>PROFESSIONAL SERVICES AGREEMENT</w:t>
      </w:r>
    </w:p>
    <w:p>
      <w:pPr>
        <w:pStyle w:val="Normal"/>
        <w:keepLines/>
        <w:tabs>
          <w:tab w:val="clear" w:pos="720"/>
          <w:tab w:val="decimal" w:pos="270" w:leader="none"/>
          <w:tab w:val="left" w:pos="540" w:leader="none"/>
        </w:tabs>
        <w:rPr>
          <w:b/>
        </w:rPr>
      </w:pPr>
      <w:r>
        <w:rPr>
          <w:b/>
        </w:rPr>
      </w:r>
    </w:p>
    <w:p>
      <w:pPr>
        <w:pStyle w:val="Normal"/>
        <w:keepLines/>
        <w:tabs>
          <w:tab w:val="clear" w:pos="720"/>
          <w:tab w:val="right" w:pos="9360" w:leader="none"/>
        </w:tabs>
        <w:rPr>
          <w:b/>
        </w:rPr>
      </w:pPr>
      <w:r>
        <w:rPr>
          <w:b/>
        </w:rPr>
      </w:r>
    </w:p>
    <w:p>
      <w:pPr>
        <w:pStyle w:val="Normal"/>
        <w:keepLines/>
        <w:tabs>
          <w:tab w:val="clear" w:pos="720"/>
          <w:tab w:val="decimal" w:pos="270" w:leader="none"/>
          <w:tab w:val="left" w:pos="540" w:leader="none"/>
        </w:tabs>
        <w:rPr>
          <w:b/>
        </w:rPr>
      </w:pPr>
      <w:r>
        <w:rPr>
          <w:b/>
        </w:rPr>
        <w:t>INDEX OF ARTICLES:</w:t>
      </w:r>
    </w:p>
    <w:p>
      <w:pPr>
        <w:pStyle w:val="Normal"/>
        <w:keepLines/>
        <w:tabs>
          <w:tab w:val="clear" w:pos="720"/>
          <w:tab w:val="decimal" w:pos="270" w:leader="none"/>
          <w:tab w:val="left" w:pos="540" w:leader="none"/>
        </w:tabs>
        <w:rPr/>
      </w:pPr>
      <w:r>
        <w:rPr/>
      </w:r>
    </w:p>
    <w:sdt>
      <w:sdtPr>
        <w:docPartObj>
          <w:docPartGallery w:val="Table of Contents"/>
          <w:docPartUnique w:val="true"/>
        </w:docPartObj>
      </w:sdtPr>
      <w:sdtContent>
        <w:p>
          <w:pPr>
            <w:pStyle w:val="Normal"/>
            <w:keepLines/>
            <w:tabs>
              <w:tab w:val="clear" w:pos="720"/>
              <w:tab w:val="decimal" w:pos="270" w:leader="none"/>
              <w:tab w:val="left" w:pos="540" w:leader="none"/>
            </w:tabs>
            <w:rPr/>
          </w:pPr>
          <w:r>
            <w:fldChar w:fldCharType="begin"/>
          </w:r>
          <w:r>
            <w:rPr/>
            <w:instrText xml:space="preserve">TOC \f</w:instrText>
          </w:r>
          <w:r>
            <w:rPr/>
            <w:fldChar w:fldCharType="separate"/>
          </w:r>
          <w:r>
            <w:rPr/>
            <w:tab/>
            <w:t>1.</w:t>
            <w:tab/>
            <w:t>Description of Work</w:t>
          </w:r>
        </w:p>
        <w:p>
          <w:pPr>
            <w:pStyle w:val="Normal"/>
            <w:keepLines/>
            <w:tabs>
              <w:tab w:val="clear" w:pos="720"/>
              <w:tab w:val="decimal" w:pos="270" w:leader="none"/>
              <w:tab w:val="left" w:pos="540" w:leader="none"/>
            </w:tabs>
            <w:rPr/>
          </w:pPr>
          <w:r>
            <w:rPr/>
            <w:tab/>
            <w:t>2.</w:t>
            <w:tab/>
            <w:t>Documents Incorporated by Reference</w:t>
          </w:r>
        </w:p>
        <w:p>
          <w:pPr>
            <w:pStyle w:val="Normal"/>
            <w:keepLines/>
            <w:tabs>
              <w:tab w:val="clear" w:pos="720"/>
              <w:tab w:val="decimal" w:pos="270" w:leader="none"/>
              <w:tab w:val="left" w:pos="540" w:leader="none"/>
            </w:tabs>
            <w:rPr/>
          </w:pPr>
          <w:r>
            <w:rPr/>
            <w:tab/>
            <w:t>3.</w:t>
            <w:tab/>
            <w:t>Period of Performance</w:t>
          </w:r>
        </w:p>
        <w:p>
          <w:pPr>
            <w:pStyle w:val="Normal"/>
            <w:keepLines/>
            <w:tabs>
              <w:tab w:val="clear" w:pos="720"/>
              <w:tab w:val="decimal" w:pos="270" w:leader="none"/>
              <w:tab w:val="left" w:pos="540" w:leader="none"/>
            </w:tabs>
            <w:rPr/>
          </w:pPr>
          <w:r>
            <w:rPr/>
            <w:tab/>
            <w:t>4.</w:t>
            <w:tab/>
            <w:t>Progress</w:t>
          </w:r>
        </w:p>
        <w:p>
          <w:pPr>
            <w:pStyle w:val="Normal"/>
            <w:keepLines/>
            <w:tabs>
              <w:tab w:val="clear" w:pos="720"/>
              <w:tab w:val="decimal" w:pos="270" w:leader="none"/>
              <w:tab w:val="left" w:pos="540" w:leader="none"/>
            </w:tabs>
            <w:rPr/>
          </w:pPr>
          <w:r>
            <w:rPr/>
            <w:tab/>
            <w:t>5.</w:t>
            <w:tab/>
            <w:t>Consideration And Payment</w:t>
          </w:r>
        </w:p>
        <w:p>
          <w:pPr>
            <w:pStyle w:val="Normal"/>
            <w:keepLines/>
            <w:tabs>
              <w:tab w:val="clear" w:pos="720"/>
              <w:tab w:val="decimal" w:pos="270" w:leader="none"/>
              <w:tab w:val="left" w:pos="540" w:leader="none"/>
            </w:tabs>
            <w:rPr/>
          </w:pPr>
          <w:r>
            <w:rPr/>
            <w:tab/>
            <w:t>6.</w:t>
            <w:tab/>
            <w:t>Independent Contractor</w:t>
          </w:r>
        </w:p>
        <w:p>
          <w:pPr>
            <w:pStyle w:val="Normal"/>
            <w:keepLines/>
            <w:tabs>
              <w:tab w:val="clear" w:pos="720"/>
              <w:tab w:val="decimal" w:pos="270" w:leader="none"/>
              <w:tab w:val="left" w:pos="540" w:leader="none"/>
            </w:tabs>
            <w:rPr/>
          </w:pPr>
          <w:r>
            <w:rPr/>
            <w:tab/>
            <w:t>7.</w:t>
            <w:tab/>
            <w:t>Professional Responsibility/Certain Remedies</w:t>
          </w:r>
        </w:p>
        <w:p>
          <w:pPr>
            <w:pStyle w:val="Normal"/>
            <w:keepLines/>
            <w:tabs>
              <w:tab w:val="clear" w:pos="720"/>
              <w:tab w:val="decimal" w:pos="270" w:leader="none"/>
              <w:tab w:val="left" w:pos="540" w:leader="none"/>
            </w:tabs>
            <w:rPr/>
          </w:pPr>
          <w:r>
            <w:rPr/>
            <w:tab/>
            <w:t>8.</w:t>
            <w:tab/>
            <w:t>Examination of Work</w:t>
          </w:r>
        </w:p>
        <w:p>
          <w:pPr>
            <w:pStyle w:val="Normal"/>
            <w:keepLines/>
            <w:tabs>
              <w:tab w:val="clear" w:pos="720"/>
              <w:tab w:val="decimal" w:pos="270" w:leader="none"/>
              <w:tab w:val="left" w:pos="540" w:leader="none"/>
            </w:tabs>
            <w:rPr/>
          </w:pPr>
          <w:r>
            <w:rPr/>
            <w:tab/>
            <w:t>9.</w:t>
            <w:tab/>
            <w:t>Changes</w:t>
          </w:r>
        </w:p>
        <w:p>
          <w:pPr>
            <w:pStyle w:val="Normal"/>
            <w:keepLines/>
            <w:tabs>
              <w:tab w:val="clear" w:pos="720"/>
              <w:tab w:val="decimal" w:pos="270" w:leader="none"/>
              <w:tab w:val="left" w:pos="540" w:leader="none"/>
            </w:tabs>
            <w:rPr/>
          </w:pPr>
          <w:r>
            <w:rPr/>
            <w:tab/>
            <w:t>10.</w:t>
            <w:tab/>
            <w:t>Termination</w:t>
          </w:r>
        </w:p>
        <w:p>
          <w:pPr>
            <w:pStyle w:val="Normal"/>
            <w:keepLines/>
            <w:tabs>
              <w:tab w:val="clear" w:pos="720"/>
              <w:tab w:val="decimal" w:pos="270" w:leader="none"/>
              <w:tab w:val="left" w:pos="540" w:leader="none"/>
            </w:tabs>
            <w:rPr/>
          </w:pPr>
          <w:r>
            <w:rPr/>
            <w:tab/>
            <w:t>11.</w:t>
            <w:tab/>
            <w:t>Suspension of Work</w:t>
          </w:r>
        </w:p>
        <w:p>
          <w:pPr>
            <w:pStyle w:val="Normal"/>
            <w:keepLines/>
            <w:tabs>
              <w:tab w:val="clear" w:pos="720"/>
              <w:tab w:val="decimal" w:pos="270" w:leader="none"/>
              <w:tab w:val="left" w:pos="540" w:leader="none"/>
            </w:tabs>
            <w:rPr/>
          </w:pPr>
          <w:r>
            <w:rPr/>
            <w:tab/>
            <w:t>12.</w:t>
            <w:tab/>
            <w:t>Laws And Regulations</w:t>
          </w:r>
        </w:p>
        <w:p>
          <w:pPr>
            <w:pStyle w:val="Normal"/>
            <w:keepLines/>
            <w:tabs>
              <w:tab w:val="clear" w:pos="720"/>
              <w:tab w:val="decimal" w:pos="270" w:leader="none"/>
              <w:tab w:val="left" w:pos="540" w:leader="none"/>
            </w:tabs>
            <w:rPr/>
          </w:pPr>
          <w:r>
            <w:rPr/>
            <w:tab/>
            <w:t>13.</w:t>
            <w:tab/>
            <w:t>Indemnification</w:t>
          </w:r>
        </w:p>
        <w:p>
          <w:pPr>
            <w:pStyle w:val="Normal"/>
            <w:keepLines/>
            <w:tabs>
              <w:tab w:val="clear" w:pos="720"/>
              <w:tab w:val="decimal" w:pos="270" w:leader="none"/>
              <w:tab w:val="left" w:pos="540" w:leader="none"/>
            </w:tabs>
            <w:rPr/>
          </w:pPr>
          <w:r>
            <w:rPr/>
            <w:tab/>
            <w:t>14.</w:t>
            <w:tab/>
            <w:t>Workers' Compensation</w:t>
          </w:r>
        </w:p>
        <w:p>
          <w:pPr>
            <w:pStyle w:val="Normal"/>
            <w:keepLines/>
            <w:tabs>
              <w:tab w:val="clear" w:pos="720"/>
              <w:tab w:val="decimal" w:pos="270" w:leader="none"/>
              <w:tab w:val="left" w:pos="540" w:leader="none"/>
            </w:tabs>
            <w:rPr/>
          </w:pPr>
          <w:r>
            <w:rPr/>
            <w:tab/>
            <w:t>15.</w:t>
            <w:tab/>
            <w:t>Insurance</w:t>
          </w:r>
        </w:p>
        <w:p>
          <w:pPr>
            <w:pStyle w:val="Normal"/>
            <w:keepLines/>
            <w:tabs>
              <w:tab w:val="clear" w:pos="720"/>
              <w:tab w:val="decimal" w:pos="270" w:leader="none"/>
              <w:tab w:val="left" w:pos="540" w:leader="none"/>
            </w:tabs>
            <w:rPr/>
          </w:pPr>
          <w:r>
            <w:rPr/>
            <w:tab/>
            <w:t>16.</w:t>
            <w:tab/>
            <w:t>Ownership of Designs, Drawings And Work Product</w:t>
          </w:r>
        </w:p>
        <w:p>
          <w:pPr>
            <w:pStyle w:val="Normal"/>
            <w:keepLines/>
            <w:tabs>
              <w:tab w:val="clear" w:pos="720"/>
              <w:tab w:val="decimal" w:pos="270" w:leader="none"/>
              <w:tab w:val="left" w:pos="540" w:leader="none"/>
              <w:tab w:val="left" w:pos="7650" w:leader="none"/>
            </w:tabs>
            <w:rPr/>
          </w:pPr>
          <w:r>
            <w:rPr/>
            <w:tab/>
            <w:t>17.</w:t>
            <w:tab/>
            <w:t>Accounting And Auditing</w:t>
          </w:r>
        </w:p>
        <w:p>
          <w:pPr>
            <w:pStyle w:val="Normal"/>
            <w:keepLines/>
            <w:tabs>
              <w:tab w:val="clear" w:pos="720"/>
              <w:tab w:val="decimal" w:pos="270" w:leader="none"/>
              <w:tab w:val="left" w:pos="540" w:leader="none"/>
            </w:tabs>
            <w:rPr/>
          </w:pPr>
          <w:r>
            <w:rPr/>
            <w:tab/>
            <w:t>18.</w:t>
            <w:tab/>
            <w:t>Patent And Copyright</w:t>
          </w:r>
        </w:p>
        <w:p>
          <w:pPr>
            <w:pStyle w:val="Normal"/>
            <w:keepLines/>
            <w:tabs>
              <w:tab w:val="clear" w:pos="720"/>
              <w:tab w:val="decimal" w:pos="270" w:leader="none"/>
              <w:tab w:val="left" w:pos="540" w:leader="none"/>
            </w:tabs>
            <w:rPr/>
          </w:pPr>
          <w:r>
            <w:rPr/>
            <w:tab/>
            <w:t>19.</w:t>
            <w:tab/>
            <w:t>Nondisclosure</w:t>
          </w:r>
        </w:p>
        <w:p>
          <w:pPr>
            <w:pStyle w:val="Normal"/>
            <w:keepLines/>
            <w:tabs>
              <w:tab w:val="clear" w:pos="720"/>
              <w:tab w:val="decimal" w:pos="270" w:leader="none"/>
              <w:tab w:val="left" w:pos="540" w:leader="none"/>
            </w:tabs>
            <w:rPr/>
          </w:pPr>
          <w:r>
            <w:rPr/>
            <w:tab/>
            <w:t>20.</w:t>
            <w:tab/>
            <w:t>Assignment And Subcontracts</w:t>
          </w:r>
        </w:p>
        <w:p>
          <w:pPr>
            <w:pStyle w:val="Normal"/>
            <w:keepLines/>
            <w:tabs>
              <w:tab w:val="clear" w:pos="720"/>
              <w:tab w:val="decimal" w:pos="270" w:leader="none"/>
              <w:tab w:val="left" w:pos="540" w:leader="none"/>
            </w:tabs>
            <w:rPr/>
          </w:pPr>
          <w:r>
            <w:rPr/>
            <w:tab/>
            <w:t>21.</w:t>
            <w:tab/>
            <w:t>Nonwaiver</w:t>
          </w:r>
        </w:p>
        <w:p>
          <w:pPr>
            <w:pStyle w:val="Normal"/>
            <w:keepLines/>
            <w:tabs>
              <w:tab w:val="clear" w:pos="720"/>
              <w:tab w:val="decimal" w:pos="270" w:leader="none"/>
              <w:tab w:val="left" w:pos="540" w:leader="none"/>
            </w:tabs>
            <w:rPr/>
          </w:pPr>
          <w:r>
            <w:rPr/>
            <w:tab/>
            <w:t>22.</w:t>
            <w:tab/>
            <w:t xml:space="preserve">Disputes </w:t>
          </w:r>
        </w:p>
        <w:p>
          <w:pPr>
            <w:pStyle w:val="Normal"/>
            <w:keepLines/>
            <w:tabs>
              <w:tab w:val="clear" w:pos="720"/>
              <w:tab w:val="decimal" w:pos="270" w:leader="none"/>
              <w:tab w:val="left" w:pos="540" w:leader="none"/>
            </w:tabs>
            <w:rPr/>
          </w:pPr>
          <w:r>
            <w:rPr/>
            <w:tab/>
            <w:t>23.</w:t>
            <w:tab/>
            <w:t>Notices</w:t>
          </w:r>
        </w:p>
        <w:p>
          <w:pPr>
            <w:pStyle w:val="Normal"/>
            <w:keepLines/>
            <w:tabs>
              <w:tab w:val="clear" w:pos="720"/>
              <w:tab w:val="decimal" w:pos="270" w:leader="none"/>
              <w:tab w:val="left" w:pos="540" w:leader="none"/>
            </w:tabs>
            <w:rPr/>
          </w:pPr>
          <w:r>
            <w:rPr/>
            <w:tab/>
            <w:t>24.</w:t>
            <w:tab/>
            <w:t>Severability</w:t>
          </w:r>
        </w:p>
        <w:p>
          <w:pPr>
            <w:pStyle w:val="Normal"/>
            <w:keepLines/>
            <w:tabs>
              <w:tab w:val="clear" w:pos="720"/>
              <w:tab w:val="decimal" w:pos="270" w:leader="none"/>
              <w:tab w:val="left" w:pos="540" w:leader="none"/>
            </w:tabs>
            <w:rPr/>
          </w:pPr>
          <w:r>
            <w:rPr/>
            <w:tab/>
            <w:t>25.</w:t>
            <w:tab/>
            <w:t>Attorney Fees/Applicable Law</w:t>
          </w:r>
        </w:p>
        <w:p>
          <w:pPr>
            <w:pStyle w:val="Normal"/>
            <w:keepLines/>
            <w:tabs>
              <w:tab w:val="clear" w:pos="720"/>
              <w:tab w:val="decimal" w:pos="270" w:leader="none"/>
              <w:tab w:val="left" w:pos="540" w:leader="none"/>
            </w:tabs>
            <w:rPr/>
          </w:pPr>
          <w:r>
            <w:rPr/>
            <w:tab/>
            <w:t>26.</w:t>
            <w:tab/>
            <w:t>Liens</w:t>
          </w:r>
        </w:p>
        <w:p>
          <w:pPr>
            <w:pStyle w:val="Normal"/>
            <w:keepLines/>
            <w:tabs>
              <w:tab w:val="clear" w:pos="720"/>
              <w:tab w:val="decimal" w:pos="270" w:leader="none"/>
              <w:tab w:val="left" w:pos="540" w:leader="none"/>
            </w:tabs>
            <w:rPr/>
          </w:pPr>
          <w:r>
            <w:rPr/>
            <w:t>27.</w:t>
            <w:tab/>
            <w:t>Non Exclusive Rights</w:t>
          </w:r>
        </w:p>
        <w:p>
          <w:pPr>
            <w:pStyle w:val="Normal"/>
            <w:keepLines/>
            <w:tabs>
              <w:tab w:val="clear" w:pos="720"/>
              <w:tab w:val="decimal" w:pos="270" w:leader="none"/>
              <w:tab w:val="left" w:pos="540" w:leader="none"/>
            </w:tabs>
            <w:rPr/>
          </w:pPr>
          <w:r>
            <w:rPr/>
            <w:t>28.</w:t>
            <w:tab/>
            <w:t>Public Releases</w:t>
          </w:r>
        </w:p>
        <w:p>
          <w:pPr>
            <w:pStyle w:val="Normal"/>
            <w:keepLines/>
            <w:tabs>
              <w:tab w:val="clear" w:pos="720"/>
              <w:tab w:val="decimal" w:pos="270" w:leader="none"/>
              <w:tab w:val="left" w:pos="540" w:leader="none"/>
            </w:tabs>
            <w:rPr/>
          </w:pPr>
          <w:r>
            <w:rPr/>
            <w:t>29.</w:t>
            <w:tab/>
            <w:t>Activities on Company Premises</w:t>
          </w:r>
        </w:p>
        <w:p>
          <w:pPr>
            <w:pStyle w:val="Normal"/>
            <w:keepLines/>
            <w:tabs>
              <w:tab w:val="clear" w:pos="720"/>
              <w:tab w:val="decimal" w:pos="270" w:leader="none"/>
              <w:tab w:val="left" w:pos="540" w:leader="none"/>
            </w:tabs>
            <w:rPr/>
          </w:pPr>
          <w:r>
            <w:rPr/>
            <w:t>30.</w:t>
            <w:tab/>
            <w:t>Taxes and Contributions</w:t>
          </w:r>
        </w:p>
        <w:p>
          <w:pPr>
            <w:pStyle w:val="Normal"/>
            <w:keepLines/>
            <w:tabs>
              <w:tab w:val="clear" w:pos="720"/>
              <w:tab w:val="decimal" w:pos="270" w:leader="none"/>
              <w:tab w:val="left" w:pos="540" w:leader="none"/>
            </w:tabs>
            <w:rPr/>
          </w:pPr>
          <w:r>
            <w:rPr/>
            <w:t>31.</w:t>
            <w:tab/>
            <w:t>Survival</w:t>
          </w:r>
        </w:p>
        <w:p>
          <w:pPr>
            <w:pStyle w:val="Normal"/>
            <w:keepLines/>
            <w:tabs>
              <w:tab w:val="clear" w:pos="720"/>
              <w:tab w:val="decimal" w:pos="270" w:leader="none"/>
              <w:tab w:val="left" w:pos="540" w:leader="none"/>
            </w:tabs>
            <w:rPr/>
          </w:pPr>
          <w:r>
            <w:rPr/>
            <w:t>32.</w:t>
            <w:tab/>
            <w:t>Complete Agreement And Effective Date</w:t>
          </w:r>
        </w:p>
        <w:p>
          <w:pPr>
            <w:pStyle w:val="Normal"/>
            <w:keepLines/>
            <w:tabs>
              <w:tab w:val="clear" w:pos="720"/>
              <w:tab w:val="decimal" w:pos="270" w:leader="none"/>
              <w:tab w:val="left" w:pos="540" w:leader="none"/>
            </w:tabs>
            <w:rPr/>
          </w:pPr>
          <w:r>
            <w:rPr/>
            <w:tab/>
          </w:r>
        </w:p>
        <w:p>
          <w:pPr>
            <w:pStyle w:val="Normal"/>
            <w:keepLines/>
            <w:tabs>
              <w:tab w:val="clear" w:pos="720"/>
              <w:tab w:val="decimal" w:pos="270" w:leader="none"/>
              <w:tab w:val="left" w:pos="540" w:leader="none"/>
            </w:tabs>
            <w:rPr/>
          </w:pPr>
          <w:r>
            <w:rPr/>
            <w:tab/>
            <w:t>Attachment A Expense Reimbursement Policy</w:t>
          </w:r>
        </w:p>
        <w:p>
          <w:pPr>
            <w:pStyle w:val="Normal"/>
            <w:keepLines/>
            <w:tabs>
              <w:tab w:val="clear" w:pos="720"/>
              <w:tab w:val="decimal" w:pos="270" w:leader="none"/>
              <w:tab w:val="left" w:pos="540" w:leader="none"/>
            </w:tabs>
            <w:rPr/>
          </w:pPr>
          <w:r>
            <w:rPr/>
            <w:tab/>
            <w:t>Attachment B Affidavit and Release of Lien</w:t>
          </w:r>
          <w:r>
            <w:rPr/>
            <w:fldChar w:fldCharType="end"/>
          </w:r>
        </w:p>
      </w:sdtContent>
    </w:sdt>
    <w:p>
      <w:pPr>
        <w:sectPr>
          <w:footerReference w:type="default" r:id="rId2"/>
          <w:type w:val="nextPage"/>
          <w:pgSz w:w="12240" w:h="15840"/>
          <w:pgMar w:left="1080" w:right="1080" w:gutter="0" w:header="0" w:top="1080" w:footer="475" w:bottom="1080"/>
          <w:pgNumType w:fmt="decimal"/>
          <w:formProt w:val="false"/>
          <w:textDirection w:val="lrTb"/>
          <w:docGrid w:type="default" w:linePitch="360" w:charSpace="0"/>
        </w:sectPr>
        <w:pStyle w:val="Footer"/>
        <w:keepLines/>
        <w:tabs>
          <w:tab w:val="clear" w:pos="4320"/>
          <w:tab w:val="clear" w:pos="8640"/>
          <w:tab w:val="decimal" w:pos="270" w:leader="none"/>
          <w:tab w:val="left" w:pos="540" w:leader="none"/>
        </w:tabs>
        <w:rPr/>
      </w:pPr>
      <w:r>
        <w:rPr/>
      </w:r>
    </w:p>
    <w:p>
      <w:pPr>
        <w:pStyle w:val="Normal"/>
        <w:keepLines/>
        <w:tabs>
          <w:tab w:val="clear" w:pos="720"/>
          <w:tab w:val="decimal" w:pos="270" w:leader="none"/>
          <w:tab w:val="left" w:pos="540" w:leader="none"/>
        </w:tabs>
        <w:jc w:val="center"/>
        <w:rPr>
          <w:b/>
        </w:rPr>
      </w:pPr>
      <w:r>
        <w:rPr>
          <w:b/>
        </w:rPr>
        <w:t>ENRON BROADBAND SERVICES, INC.</w:t>
      </w:r>
    </w:p>
    <w:p>
      <w:pPr>
        <w:pStyle w:val="Normal"/>
        <w:keepLines/>
        <w:tabs>
          <w:tab w:val="clear" w:pos="720"/>
          <w:tab w:val="decimal" w:pos="270" w:leader="none"/>
          <w:tab w:val="left" w:pos="540" w:leader="none"/>
        </w:tabs>
        <w:jc w:val="center"/>
        <w:rPr>
          <w:b/>
        </w:rPr>
      </w:pPr>
      <w:r>
        <w:rPr>
          <w:b/>
        </w:rPr>
        <w:t>PROFESSIONAL SERVICES AGREEMENT</w:t>
      </w:r>
    </w:p>
    <w:p>
      <w:pPr>
        <w:pStyle w:val="Normal"/>
        <w:keepLines/>
        <w:tabs>
          <w:tab w:val="clear" w:pos="720"/>
          <w:tab w:val="decimal" w:pos="270" w:leader="none"/>
          <w:tab w:val="left" w:pos="540" w:leader="none"/>
        </w:tabs>
        <w:rPr/>
      </w:pPr>
      <w:r>
        <w:rPr/>
      </w:r>
    </w:p>
    <w:p>
      <w:pPr>
        <w:pStyle w:val="Normal"/>
        <w:keepLines/>
        <w:tabs>
          <w:tab w:val="clear" w:pos="720"/>
          <w:tab w:val="right" w:pos="9360" w:leader="none"/>
        </w:tabs>
        <w:rPr/>
      </w:pPr>
      <w:r>
        <w:rPr/>
        <w:tab/>
        <w:t>Agreement No. _______________________</w:t>
      </w:r>
    </w:p>
    <w:p>
      <w:pPr>
        <w:pStyle w:val="Normal"/>
        <w:keepLines/>
        <w:tabs>
          <w:tab w:val="clear" w:pos="720"/>
          <w:tab w:val="decimal" w:pos="270" w:leader="none"/>
          <w:tab w:val="left" w:pos="540" w:leader="none"/>
        </w:tabs>
        <w:rPr/>
      </w:pPr>
      <w:r>
        <w:rPr/>
      </w:r>
    </w:p>
    <w:p>
      <w:pPr>
        <w:pStyle w:val="Footer"/>
        <w:keepLines/>
        <w:tabs>
          <w:tab w:val="clear" w:pos="4320"/>
          <w:tab w:val="clear" w:pos="8640"/>
          <w:tab w:val="left" w:pos="1080" w:leader="none"/>
        </w:tabs>
        <w:rPr/>
      </w:pPr>
      <w:r>
        <w:rPr/>
      </w:r>
    </w:p>
    <w:p>
      <w:pPr>
        <w:pStyle w:val="Normal"/>
        <w:keepLines/>
        <w:tabs>
          <w:tab w:val="clear" w:pos="720"/>
          <w:tab w:val="left" w:pos="1080" w:leader="none"/>
        </w:tabs>
        <w:rPr/>
      </w:pPr>
      <w:r>
        <w:rPr/>
        <w:t>This Professional Services Agreement (“Agreement”) is entered into by and between</w:t>
      </w:r>
      <w:r>
        <w:rPr>
          <w:b/>
        </w:rPr>
        <w:t xml:space="preserve"> Enron Broadband Services, Inc.</w:t>
      </w:r>
      <w:r>
        <w:rPr/>
        <w:t xml:space="preserve"> ("Company"), an Oregon corporation, and </w:t>
      </w:r>
      <w:r>
        <w:rPr>
          <w:u w:val="single"/>
        </w:rPr>
        <w:tab/>
        <w:tab/>
        <w:tab/>
        <w:tab/>
        <w:tab/>
        <w:tab/>
      </w:r>
      <w:r>
        <w:rPr/>
        <w:t xml:space="preserve"> ("Consultant").  Sometimes Company and Consultant are referred to herein as “the Parties,” or, individually, as a “Party.”  This Agreement shall be effective on the date on which both Parties shall have executed it.  In consideration of the Parties’ respective promises herein, and other good and valuable consideration, the receipt and sufficiency of which are hereby acknowledged by the Parties, the Parties hereby agree as follows:</w:t>
      </w:r>
    </w:p>
    <w:p>
      <w:pPr>
        <w:pStyle w:val="Normal"/>
        <w:keepLines/>
        <w:tabs>
          <w:tab w:val="clear" w:pos="720"/>
          <w:tab w:val="left" w:pos="0"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1.</w:t>
        <w:tab/>
        <w:t>DESCRIPTION OF WORK</w:t>
      </w:r>
      <w:r>
        <w:fldChar w:fldCharType="begin"/>
      </w:r>
      <w:r>
        <w:rPr/>
        <w:instrText xml:space="preserve"> TC "1.</w:instrText>
        <w:tab/>
        <w:instrText xml:space="preserve">DESCRIPTION OF WORK" \l 1 </w:instrText>
      </w:r>
      <w:r>
        <w:rPr/>
        <w:fldChar w:fldCharType="separate"/>
      </w:r>
      <w:r>
        <w:rPr/>
      </w:r>
      <w:r>
        <w:rPr/>
        <w:fldChar w:fldCharType="end"/>
      </w:r>
      <w:r>
        <w:rPr/>
        <w:t>.  Consultant shall provide professional services (the “Work”) as described in one or more Statements of Work which shall reference this Agreement and be executed by the Parties.   Except as may be hereinafter otherwise provided, Consultant shall, as part of the Work, furnish all supervision, labor, equipment and materials required therefor and shall obtain all licenses and permits required for performing the Work.  From time to time the Parties may agree upon and execute additional Statements of Work, which will be governed by this Agreement.</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2.</w:t>
        <w:tab/>
        <w:t>DOCUMENTS INCORPORATED BY REFERENCE</w:t>
      </w:r>
      <w:r>
        <w:fldChar w:fldCharType="begin"/>
      </w:r>
      <w:r>
        <w:rPr/>
        <w:instrText xml:space="preserve"> TC "2.</w:instrText>
        <w:tab/>
        <w:instrText xml:space="preserve">DOCUMENTS INCORPORATED BY REFERENCE" \l 1 </w:instrText>
      </w:r>
      <w:r>
        <w:rPr/>
        <w:fldChar w:fldCharType="separate"/>
      </w:r>
      <w:r>
        <w:rPr/>
      </w:r>
      <w:r>
        <w:rPr/>
        <w:fldChar w:fldCharType="end"/>
      </w:r>
      <w:r>
        <w:rPr/>
        <w:t>.  Any Statement of Work (including any specifications, drawings, schedules, and other documents attached thereto) when executed by the Parties shall thereby be incorporated by reference.  Any Statements of Work annexed to this Agreement shall operate to supplement the terms of this Agreement but shall not modify, contradict or otherwise change the terms of this Professional Services Agreement document unless otherwise provided in a Statement of Work which specifically references the effected terms.  In the event of any inconsistency, the terms of this Professional Services Agreement document shall control.  Consultant shall advise Company in writing of all conflicts, errors, omissions or discrepancies within or among the various documents attached to this Agreement (collectively referred to herein as an “Inconsistency”) immediately upon discovery and prior to performing any Work under the Agreement which may be affected by an Inconsistency.  Company may also, at any time, identify an Inconsistency and provide written notice to Consultant to wait for clarification prior to performing any Work under the Agreement which may be affected by the Inconsistency.  Company shall promptly clarify any Inconsistency in writing and upon receipt, Consultant shall promptly commence performance in accordance with the Company’s written clarification.</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3.</w:t>
        <w:tab/>
        <w:t>PERIOD OF PERFORMANCE</w:t>
      </w:r>
      <w:r>
        <w:fldChar w:fldCharType="begin"/>
      </w:r>
      <w:r>
        <w:rPr/>
        <w:instrText xml:space="preserve"> TC "3.</w:instrText>
        <w:tab/>
        <w:instrText xml:space="preserve">PERIOD OF PERFORMANCE" \l 1 </w:instrText>
      </w:r>
      <w:r>
        <w:rPr/>
        <w:fldChar w:fldCharType="separate"/>
      </w:r>
      <w:r>
        <w:rPr/>
      </w:r>
      <w:r>
        <w:rPr/>
        <w:fldChar w:fldCharType="end"/>
      </w:r>
      <w:r>
        <w:rPr/>
        <w:t>.  Consultant shall commence and complete performance of the work by the dates specified in the pertinent attached Statement of Work.</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4.</w:t>
        <w:tab/>
        <w:t>PROGRESS</w:t>
      </w:r>
      <w:r>
        <w:fldChar w:fldCharType="begin"/>
      </w:r>
      <w:r>
        <w:rPr/>
        <w:instrText xml:space="preserve"> TC "4.</w:instrText>
        <w:tab/>
        <w:instrText xml:space="preserve">PROGRESS" \l 1 </w:instrText>
      </w:r>
      <w:r>
        <w:rPr/>
        <w:fldChar w:fldCharType="separate"/>
      </w:r>
      <w:r>
        <w:rPr/>
      </w:r>
      <w:r>
        <w:rPr/>
        <w:fldChar w:fldCharType="end"/>
      </w:r>
      <w:r>
        <w:rPr/>
        <w:t>.  Consultant shall submit periodic progress reports as requested by Company.  Company, its agent or representatives, may visit Consultant's office at any reasonable time to determine status of ongoing activities required by this Agreement.</w:t>
      </w:r>
    </w:p>
    <w:p>
      <w:pPr>
        <w:pStyle w:val="Normal"/>
        <w:keepLines/>
        <w:tabs>
          <w:tab w:val="clear" w:pos="720"/>
          <w:tab w:val="left" w:pos="1296" w:leader="none"/>
          <w:tab w:val="left" w:pos="2946" w:leader="none"/>
        </w:tabs>
        <w:jc w:val="both"/>
        <w:rPr/>
      </w:pPr>
      <w:r>
        <w:rPr/>
      </w:r>
    </w:p>
    <w:p>
      <w:pPr>
        <w:sectPr>
          <w:footerReference w:type="default" r:id="rId3"/>
          <w:footerReference w:type="first" r:id="rId4"/>
          <w:type w:val="nextPage"/>
          <w:pgSz w:w="12240" w:h="15840"/>
          <w:pgMar w:left="1080" w:right="1080" w:gutter="0" w:header="0" w:top="1080" w:footer="475" w:bottom="1080"/>
          <w:pgNumType w:start="1" w:fmt="decimal"/>
          <w:formProt w:val="false"/>
          <w:textDirection w:val="lrTb"/>
          <w:docGrid w:type="default" w:linePitch="360" w:charSpace="0"/>
        </w:sectPr>
      </w:pPr>
    </w:p>
    <w:p>
      <w:pPr>
        <w:pStyle w:val="Normal"/>
        <w:keepLines/>
        <w:tabs>
          <w:tab w:val="clear" w:pos="720"/>
          <w:tab w:val="left" w:pos="1296" w:leader="none"/>
          <w:tab w:val="left" w:pos="2946" w:leader="none"/>
        </w:tabs>
        <w:ind w:firstLine="1296" w:end="0"/>
        <w:jc w:val="both"/>
        <w:rPr/>
      </w:pPr>
      <w:r>
        <w:rPr>
          <w:rStyle w:val="Article"/>
        </w:rPr>
        <w:t>ARTICLE 5.</w:t>
        <w:tab/>
        <w:t>CONSIDERATION AND PAYMENT</w:t>
      </w:r>
      <w:r>
        <w:fldChar w:fldCharType="begin"/>
      </w:r>
      <w:r>
        <w:rPr/>
        <w:instrText xml:space="preserve"> TC "5.</w:instrText>
        <w:tab/>
        <w:instrText xml:space="preserve">CONSIDERATION AND PAYMENT" \l 1 </w:instrText>
      </w:r>
      <w:r>
        <w:rPr/>
        <w:fldChar w:fldCharType="separate"/>
      </w:r>
      <w:r>
        <w:rPr/>
      </w:r>
      <w:r>
        <w:rPr/>
        <w:fldChar w:fldCharType="end"/>
      </w:r>
      <w:r>
        <w:rPr/>
        <w:t xml:space="preserve">.  For satisfactory performance by Consultant of its obligations under this Agreement including performance of the Work described in </w:t>
      </w:r>
      <w:r>
        <w:rPr>
          <w:b/>
        </w:rPr>
        <w:t xml:space="preserve">Article 1, </w:t>
      </w:r>
      <w:r>
        <w:rPr>
          <w:b/>
          <w:u w:val="single"/>
        </w:rPr>
        <w:t>Description of Work</w:t>
      </w:r>
      <w:r>
        <w:rPr/>
        <w:t>, Company shall pay Consultant the consideration specified in the attached Statement of Work.  The consideration as stated therein is inclusive of all taxes to be borne by Company arising out of Consultant's performance hereunder, including without limitation, sales, use and value-added taxes, unless specifically stated otherwise. If the Statement of Work provides that Consultant will be reimbursed for expenses incurred in performing the Work, Consultant shall comply with the expense reimbursement policy attached as Attachment A. All invoices shall reference this Agreement and, when required, copies of supporting documentation and proof of expenditures.  Invoices shall be addressed as set forth on the signature page hereof.</w:t>
      </w:r>
    </w:p>
    <w:p>
      <w:pPr>
        <w:pStyle w:val="Normal"/>
        <w:keepLines/>
        <w:tabs>
          <w:tab w:val="clear" w:pos="720"/>
          <w:tab w:val="left" w:pos="1296" w:leader="none"/>
          <w:tab w:val="left" w:pos="2946" w:leader="none"/>
        </w:tabs>
        <w:jc w:val="both"/>
        <w:rPr/>
      </w:pPr>
      <w:r>
        <w:rPr/>
      </w:r>
    </w:p>
    <w:p>
      <w:pPr>
        <w:pStyle w:val="Normal"/>
        <w:keepLines/>
        <w:tabs>
          <w:tab w:val="clear" w:pos="720"/>
          <w:tab w:val="left" w:pos="1844" w:leader="none"/>
        </w:tabs>
        <w:ind w:hanging="1844" w:start="1844" w:end="0"/>
        <w:jc w:val="both"/>
        <w:rPr/>
      </w:pPr>
      <w:r>
        <w:rPr>
          <w:b/>
          <w:u w:val="single"/>
        </w:rPr>
        <w:t>IMPORTANT</w:t>
      </w:r>
      <w:r>
        <w:rPr/>
        <w:t>:</w:t>
        <w:tab/>
        <w:t>INVOICES WHICH DO NOT CONTAIN THE ABOVE INFORMATION, OR ARE NOT ADDRESSED AS ABOVE MAY CAUSE PAYMENT DELAY.</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t>Payment(s) shall be made within thirty (30) days of receipt and approval of a proper invoice.  Such payment(s) shall be contingent upon Consultant's satisfactory compliance with all provisions of this Agreement.</w:t>
      </w:r>
    </w:p>
    <w:p>
      <w:pPr>
        <w:pStyle w:val="Normal"/>
        <w:keepLines/>
        <w:tabs>
          <w:tab w:val="clear" w:pos="720"/>
          <w:tab w:val="left" w:pos="1296" w:leader="none"/>
          <w:tab w:val="left" w:pos="2946" w:leader="none"/>
        </w:tabs>
        <w:jc w:val="both"/>
        <w:rPr/>
      </w:pPr>
      <w:r>
        <w:rPr/>
      </w:r>
    </w:p>
    <w:p>
      <w:pPr>
        <w:pStyle w:val="BodyTextIndent"/>
        <w:rPr/>
      </w:pPr>
      <w:r>
        <w:rPr>
          <w:rStyle w:val="Article"/>
        </w:rPr>
        <w:t>ARTICLE 6.</w:t>
        <w:tab/>
        <w:t>INDEPENDENT CONTRACTOR</w:t>
      </w:r>
      <w:r>
        <w:fldChar w:fldCharType="begin"/>
      </w:r>
      <w:r>
        <w:rPr/>
        <w:instrText xml:space="preserve"> TC "7.</w:instrText>
        <w:tab/>
        <w:instrText xml:space="preserve">INDEPENDENT CONTRACTOR" \l 1 </w:instrText>
      </w:r>
      <w:r>
        <w:rPr/>
        <w:fldChar w:fldCharType="separate"/>
      </w:r>
      <w:r>
        <w:rPr/>
      </w:r>
      <w:r>
        <w:rPr/>
        <w:fldChar w:fldCharType="end"/>
      </w:r>
      <w:r>
        <w:rPr/>
        <w:t>.  Consultant is an independent contractor and persons employed by Consultant in connection herewith shall be employees of Consultant and not employees of Company in any respect.  Consultant shall not represent that it is, or hold itself out as, an agent or representative of Company and in no event shall Consultant be authorized to enter into any agreements or undertakings for or on behalf of Company.  Consultant shall perform the Work in accordance with its own methods in an orderly and workmanlike manner, enforce strict discipline and order among its employees, and not employ on the Work any person who is incompetent or unskilled in the Work assigned.</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7.</w:t>
        <w:tab/>
        <w:t>PROFESSIONAL RESPONSIBILITY/CERTAIN REMEDIES</w:t>
      </w:r>
      <w:r>
        <w:fldChar w:fldCharType="begin"/>
      </w:r>
      <w:r>
        <w:rPr/>
        <w:instrText xml:space="preserve"> TC "8.</w:instrText>
        <w:tab/>
        <w:instrText xml:space="preserve">PROFESSIONAL RESPONSIBILITY" \l 1 </w:instrText>
      </w:r>
      <w:r>
        <w:rPr/>
        <w:fldChar w:fldCharType="separate"/>
      </w:r>
      <w:r>
        <w:rPr/>
      </w:r>
      <w:r>
        <w:rPr/>
        <w:fldChar w:fldCharType="end"/>
      </w:r>
      <w:r>
        <w:rPr/>
        <w:t>.  Consultant shall perform the Work hereunder using the standards of care, skill and diligence normally provided by a professional in the performance of such services in respect to work similar to that contemplated hereunder, and shall comply with all codes and standards applicable to the Work.  Consultant warrants that goods and services provided by it pursuant to this Agreement shall be free from defects in design, material, and workmanship and shall conform in all respects to the specifications which are part of this Agreement.  In the event of Consultant's failure to observe and adhere to this standard, Consultant shall, upon notice from Company, promptly reperform the Work and correct the defect at Consultant's sole cost.  In such event Consultant shall also be liable for any damage resulting from such defective Work. All remedies of Company specified in this Agreement are cumulative and are in addition to all other remedies available at law or in equity.</w:t>
      </w:r>
    </w:p>
    <w:p>
      <w:pPr>
        <w:pStyle w:val="Normal"/>
        <w:keepLines/>
        <w:tabs>
          <w:tab w:val="clear" w:pos="720"/>
          <w:tab w:val="left" w:pos="1296" w:leader="none"/>
          <w:tab w:val="left" w:pos="2946" w:leader="none"/>
        </w:tabs>
        <w:ind w:firstLine="1296" w:end="0"/>
        <w:jc w:val="both"/>
        <w:rPr/>
      </w:pPr>
      <w:r>
        <w:rPr/>
      </w:r>
    </w:p>
    <w:p>
      <w:pPr>
        <w:pStyle w:val="Normal"/>
        <w:keepLines/>
        <w:tabs>
          <w:tab w:val="clear" w:pos="720"/>
          <w:tab w:val="left" w:pos="1296" w:leader="none"/>
          <w:tab w:val="left" w:pos="2946" w:leader="none"/>
        </w:tabs>
        <w:ind w:firstLine="1296" w:end="0"/>
        <w:jc w:val="both"/>
        <w:rPr/>
      </w:pPr>
      <w:r>
        <w:rPr>
          <w:rStyle w:val="Article"/>
        </w:rPr>
        <w:t>ARTICLE 8.</w:t>
        <w:tab/>
        <w:t>EXAMINATION OF WORK</w:t>
      </w:r>
      <w:r>
        <w:fldChar w:fldCharType="begin"/>
      </w:r>
      <w:r>
        <w:rPr/>
        <w:instrText xml:space="preserve"> TC "9.</w:instrText>
        <w:tab/>
        <w:instrText xml:space="preserve">EXAMINATION OF WORK" \l 1 </w:instrText>
      </w:r>
      <w:r>
        <w:rPr/>
        <w:fldChar w:fldCharType="separate"/>
      </w:r>
      <w:r>
        <w:rPr/>
      </w:r>
      <w:r>
        <w:rPr/>
        <w:fldChar w:fldCharType="end"/>
      </w:r>
      <w:r>
        <w:rPr/>
        <w:t>.  All Work will be subject to examination at any reasonable time or times by Company, which shall have the right to reject Work which does not conform to any specifications for the Work or does not comply with the standards expressed in Article 7.  Neither examination of Work nor the lack of same nor acceptance of the Work by Company nor payment therefor shall relieve Consultant from any of its obligations under this Agreement.</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9.</w:t>
        <w:tab/>
        <w:t>CHANGES</w:t>
      </w:r>
      <w:r>
        <w:fldChar w:fldCharType="begin"/>
      </w:r>
      <w:r>
        <w:rPr/>
        <w:instrText xml:space="preserve"> TC "10.</w:instrText>
        <w:tab/>
        <w:instrText xml:space="preserve">CHANGES" \l 1 </w:instrText>
      </w:r>
      <w:r>
        <w:rPr/>
        <w:fldChar w:fldCharType="separate"/>
      </w:r>
      <w:r>
        <w:rPr/>
      </w:r>
      <w:r>
        <w:rPr/>
        <w:fldChar w:fldCharType="end"/>
      </w:r>
      <w:r>
        <w:rPr/>
        <w:t>.  Company may at any time, by written agreement with Consultant, require additional work within the general scope of this Agreement, or any amendment hereto, or direct the omission of or variation in Work, or alter the schedule.  If such change results in a material change in the amount or character of the Work, an equitable adjustment in the Agreement price and other such provisions of this Agreement as may be affected, shall be made and this Agreement shall be modified in writing accordingly.  Any claim by Consultant for an adjustment under this Article must be asserted in writing within thirty (30) days from the date of receipt by Consultant of the notification of change or the claim will not be allowed.</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t>No change shall be binding upon Company until a Change Order is executed by an authorized representative of Company which EXPRESSLY STATES THAT IT CONSTITUTES A CHANGE ORDER TO THIS AGREEMENT.  THE ISSUANCE OF INFORMATION, ADVICE, APPROVALS OR INSTRUCTIONS BY ANYONE OTHER THAN THE AUTHORIZED REPRESENTATIVE OF COMPANY SHALL NOT CONSTITUTE AN AUTHORIZED CHANGE PURSUANT TO THIS ARTICLE.</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t>Nothing contained in this article shall excuse Consultant from proceeding with the prosecution of the Work in accordance with this Agreement.</w:t>
      </w:r>
    </w:p>
    <w:p>
      <w:pPr>
        <w:pStyle w:val="Normal"/>
        <w:widowControl w:val="false"/>
        <w:tabs>
          <w:tab w:val="clear" w:pos="720"/>
          <w:tab w:val="left" w:pos="1296" w:leader="none"/>
          <w:tab w:val="left" w:pos="2946" w:leader="none"/>
        </w:tabs>
        <w:jc w:val="both"/>
        <w:rPr/>
      </w:pPr>
      <w:r>
        <w:rPr/>
      </w:r>
    </w:p>
    <w:p>
      <w:pPr>
        <w:pStyle w:val="Normal"/>
        <w:tabs>
          <w:tab w:val="clear" w:pos="720"/>
          <w:tab w:val="left" w:pos="1296" w:leader="none"/>
          <w:tab w:val="left" w:pos="2946" w:leader="none"/>
        </w:tabs>
        <w:ind w:firstLine="1296" w:end="0"/>
        <w:jc w:val="both"/>
        <w:rPr/>
      </w:pPr>
      <w:r>
        <w:rPr>
          <w:rStyle w:val="Article"/>
        </w:rPr>
        <w:t>ARTICLE 10.</w:t>
        <w:tab/>
        <w:t>TERMINATION</w:t>
      </w:r>
      <w:r>
        <w:fldChar w:fldCharType="begin"/>
      </w:r>
      <w:r>
        <w:rPr/>
        <w:instrText xml:space="preserve"> TC "11.</w:instrText>
        <w:tab/>
        <w:instrText xml:space="preserve">TERMINATION" \l 1 </w:instrText>
      </w:r>
      <w:r>
        <w:rPr/>
        <w:fldChar w:fldCharType="separate"/>
      </w:r>
      <w:r>
        <w:rPr/>
      </w:r>
      <w:r>
        <w:rPr/>
        <w:fldChar w:fldCharType="end"/>
      </w:r>
      <w:r>
        <w:rPr/>
        <w:t>.  Company may terminate this Agreement at any time without cause prior to its completion by sending to Consultant written notice of such termination.  Upon such termination, Company will pay to Consultant in full satisfaction and discharge of all liabilities and obligations owed to Consultant, an equitable amount for all Work satisfactorily performed by Consultant as of the date of termination, excluding anticipated profits on work not yet performed.</w:t>
      </w:r>
    </w:p>
    <w:p>
      <w:pPr>
        <w:pStyle w:val="Normal"/>
        <w:tabs>
          <w:tab w:val="clear" w:pos="720"/>
          <w:tab w:val="left" w:pos="1296" w:leader="none"/>
          <w:tab w:val="left" w:pos="2946" w:leader="none"/>
        </w:tabs>
        <w:ind w:firstLine="1296" w:end="0"/>
        <w:jc w:val="both"/>
        <w:rPr/>
      </w:pPr>
      <w:r>
        <w:rPr/>
      </w:r>
    </w:p>
    <w:p>
      <w:pPr>
        <w:pStyle w:val="Normal"/>
        <w:keepLines/>
        <w:tabs>
          <w:tab w:val="clear" w:pos="720"/>
          <w:tab w:val="left" w:pos="1296" w:leader="none"/>
          <w:tab w:val="left" w:pos="2946" w:leader="none"/>
        </w:tabs>
        <w:ind w:firstLine="1296" w:end="0"/>
        <w:jc w:val="both"/>
        <w:rPr/>
      </w:pPr>
      <w:r>
        <w:rPr>
          <w:rStyle w:val="Article"/>
        </w:rPr>
        <w:t>ARTICLE 11.</w:t>
        <w:tab/>
        <w:t>SUSPENSION OF WORK</w:t>
      </w:r>
      <w:r>
        <w:fldChar w:fldCharType="begin"/>
      </w:r>
      <w:r>
        <w:rPr/>
        <w:instrText xml:space="preserve"> TC "12.</w:instrText>
        <w:tab/>
        <w:instrText xml:space="preserve">SUSPENSION OF WORK" \l 1 </w:instrText>
      </w:r>
      <w:r>
        <w:rPr/>
        <w:fldChar w:fldCharType="separate"/>
      </w:r>
      <w:r>
        <w:rPr/>
      </w:r>
      <w:r>
        <w:rPr/>
        <w:fldChar w:fldCharType="end"/>
      </w:r>
      <w:r>
        <w:rPr/>
        <w:t>.  Company may, by written notice, direct Consultant to suspend performance of any or all of the Work for a specified period of time.  If such suspension is not occasioned by the fault or negligence of Consultant, this Agreement may be supplemented to compensate Consultant for extra costs incurred due to said suspension, provided that any claim for adjustment is supported by appropriate cost documentation and asserted within twenty (20) days after the date Company issues an order for resumption of the Work.  Upon receipt of such notice to suspend Work, Consultant shall (i) discontinue Work, (ii) place no further orders or subcontracts, (iii) suspend all orders and subcontracts, (iv) protect and maintain the Work, and (v) otherwise mitigate Company's costs and liabilities for those areas of Work suspended.</w:t>
      </w:r>
    </w:p>
    <w:p>
      <w:pPr>
        <w:pStyle w:val="Normal"/>
        <w:keepLines/>
        <w:tabs>
          <w:tab w:val="clear" w:pos="720"/>
          <w:tab w:val="left" w:pos="1296" w:leader="none"/>
          <w:tab w:val="left" w:pos="2946" w:leader="none"/>
        </w:tabs>
        <w:jc w:val="both"/>
        <w:rPr/>
      </w:pPr>
      <w:r>
        <w:rPr/>
      </w:r>
    </w:p>
    <w:p>
      <w:pPr>
        <w:pStyle w:val="Normal"/>
        <w:keepLines/>
        <w:tabs>
          <w:tab w:val="clear" w:pos="720"/>
          <w:tab w:val="left" w:pos="1296" w:leader="none"/>
          <w:tab w:val="left" w:pos="2946" w:leader="none"/>
        </w:tabs>
        <w:ind w:firstLine="1296" w:end="0"/>
        <w:jc w:val="both"/>
        <w:rPr/>
      </w:pPr>
      <w:r>
        <w:rPr>
          <w:rStyle w:val="Article"/>
        </w:rPr>
        <w:t>ARTICLE 12.</w:t>
        <w:tab/>
        <w:t>LAWS AND REGULATIONS</w:t>
      </w:r>
      <w:r>
        <w:fldChar w:fldCharType="begin"/>
      </w:r>
      <w:r>
        <w:rPr/>
        <w:instrText xml:space="preserve"> TC "13.</w:instrText>
        <w:tab/>
        <w:instrText xml:space="preserve">LAWS AND REGULATIONS" \l 1 </w:instrText>
      </w:r>
      <w:r>
        <w:rPr/>
        <w:fldChar w:fldCharType="separate"/>
      </w:r>
      <w:r>
        <w:rPr/>
      </w:r>
      <w:r>
        <w:rPr/>
        <w:fldChar w:fldCharType="end"/>
      </w:r>
      <w:r>
        <w:rPr/>
        <w:t>.  Consultant shall at all times comply with all applicable laws, statutes, rules, regulations and ordinances, including without limitation those governing wages, hours, desegregation, employment discrimination, health and safety.  The Work shall comply with and conform to all applicable orders, codes, criteria, and standards issued or promulgated by governmental entities or industry bodies with jurisdiction over any aspect of the Work or the products and/or services delivered by Consultant hereunder. Consultant shall comply with equal opportunity laws and regulations to the extent that they are applicable, including without limitation, the following:</w:t>
      </w:r>
    </w:p>
    <w:p>
      <w:pPr>
        <w:pStyle w:val="Normal"/>
        <w:keepLines/>
        <w:tabs>
          <w:tab w:val="clear" w:pos="720"/>
          <w:tab w:val="left" w:pos="1296" w:leader="none"/>
          <w:tab w:val="left" w:pos="2946" w:leader="none"/>
        </w:tabs>
        <w:jc w:val="both"/>
        <w:rPr/>
      </w:pPr>
      <w:r>
        <w:rPr/>
      </w:r>
    </w:p>
    <w:p>
      <w:pPr>
        <w:pStyle w:val="Style11"/>
        <w:keepLines/>
        <w:numPr>
          <w:ilvl w:val="0"/>
          <w:numId w:val="6"/>
        </w:numPr>
        <w:tabs>
          <w:tab w:val="left" w:pos="720" w:leader="none"/>
          <w:tab w:val="left" w:pos="1296" w:leader="none"/>
          <w:tab w:val="left" w:pos="1538" w:leader="none"/>
        </w:tabs>
        <w:ind w:hanging="360" w:start="720" w:end="0"/>
        <w:jc w:val="both"/>
        <w:rPr/>
      </w:pPr>
      <w:r>
        <w:rPr/>
        <w:t>Executive Order No. 11246 and 41 CFR, Section 60</w:t>
        <w:noBreakHyphen/>
        <w:t>1.4 (Employment Discrimination)</w:t>
      </w:r>
    </w:p>
    <w:p>
      <w:pPr>
        <w:pStyle w:val="Normal"/>
        <w:keepLines/>
        <w:tabs>
          <w:tab w:val="clear" w:pos="720"/>
          <w:tab w:val="left" w:pos="1296" w:leader="none"/>
          <w:tab w:val="left" w:pos="1538" w:leader="none"/>
        </w:tabs>
        <w:jc w:val="both"/>
        <w:rPr/>
      </w:pPr>
      <w:r>
        <w:rPr/>
      </w:r>
    </w:p>
    <w:p>
      <w:pPr>
        <w:pStyle w:val="Style11"/>
        <w:keepLines/>
        <w:numPr>
          <w:ilvl w:val="0"/>
          <w:numId w:val="5"/>
        </w:numPr>
        <w:tabs>
          <w:tab w:val="left" w:pos="720" w:leader="none"/>
          <w:tab w:val="left" w:pos="1296" w:leader="none"/>
          <w:tab w:val="left" w:pos="1538" w:leader="none"/>
        </w:tabs>
        <w:ind w:hanging="360" w:start="720" w:end="0"/>
        <w:jc w:val="both"/>
        <w:rPr/>
      </w:pPr>
      <w:r>
        <w:rPr/>
        <w:t>Executive Order No. 11701 and 41 CFR, Section 60</w:t>
        <w:noBreakHyphen/>
        <w:t>250.4 (Employment of Veterans)</w:t>
      </w:r>
    </w:p>
    <w:p>
      <w:pPr>
        <w:pStyle w:val="Normal"/>
        <w:keepLines/>
        <w:tabs>
          <w:tab w:val="clear" w:pos="720"/>
          <w:tab w:val="left" w:pos="1296" w:leader="none"/>
          <w:tab w:val="left" w:pos="1538" w:leader="none"/>
        </w:tabs>
        <w:ind w:start="360" w:end="0"/>
        <w:jc w:val="both"/>
        <w:rPr/>
      </w:pPr>
      <w:r>
        <w:rPr/>
      </w:r>
    </w:p>
    <w:p>
      <w:pPr>
        <w:pStyle w:val="Style11"/>
        <w:keepLines/>
        <w:numPr>
          <w:ilvl w:val="0"/>
          <w:numId w:val="2"/>
        </w:numPr>
        <w:tabs>
          <w:tab w:val="left" w:pos="720" w:leader="none"/>
          <w:tab w:val="left" w:pos="1296" w:leader="none"/>
          <w:tab w:val="left" w:pos="1538" w:leader="none"/>
        </w:tabs>
        <w:ind w:hanging="360" w:start="720" w:end="0"/>
        <w:jc w:val="both"/>
        <w:rPr/>
      </w:pPr>
      <w:r>
        <w:rPr/>
        <w:t>Executive Order Nos. 11625 and 12138 and 41 CFR, Part 1</w:t>
        <w:noBreakHyphen/>
        <w:t>1 (Utilization of Minority and Women-Owned Business)</w:t>
      </w:r>
    </w:p>
    <w:p>
      <w:pPr>
        <w:pStyle w:val="Normal"/>
        <w:keepLines/>
        <w:tabs>
          <w:tab w:val="clear" w:pos="720"/>
          <w:tab w:val="left" w:pos="1296" w:leader="none"/>
          <w:tab w:val="left" w:pos="1538" w:leader="none"/>
        </w:tabs>
        <w:ind w:start="360" w:end="0"/>
        <w:jc w:val="both"/>
        <w:rPr/>
      </w:pPr>
      <w:r>
        <w:rPr/>
      </w:r>
    </w:p>
    <w:p>
      <w:pPr>
        <w:pStyle w:val="Style11"/>
        <w:keepLines/>
        <w:numPr>
          <w:ilvl w:val="0"/>
          <w:numId w:val="3"/>
        </w:numPr>
        <w:tabs>
          <w:tab w:val="left" w:pos="720" w:leader="none"/>
          <w:tab w:val="left" w:pos="1296" w:leader="none"/>
          <w:tab w:val="left" w:pos="1538" w:leader="none"/>
        </w:tabs>
        <w:ind w:hanging="360" w:start="720" w:end="0"/>
        <w:jc w:val="both"/>
        <w:rPr/>
      </w:pPr>
      <w:r>
        <w:rPr/>
        <w:t>Executive Order No. 11758 and 41 CFR, Section 60</w:t>
        <w:noBreakHyphen/>
        <w:t>741.4 (Employment of Handicapped Individuals)</w:t>
      </w:r>
    </w:p>
    <w:p>
      <w:pPr>
        <w:pStyle w:val="Normal"/>
        <w:keepLines/>
        <w:tabs>
          <w:tab w:val="clear" w:pos="720"/>
          <w:tab w:val="left" w:pos="1296" w:leader="none"/>
          <w:tab w:val="left" w:pos="1538" w:leader="none"/>
        </w:tabs>
        <w:ind w:start="360" w:end="0"/>
        <w:jc w:val="both"/>
        <w:rPr/>
      </w:pPr>
      <w:r>
        <w:rPr/>
      </w:r>
    </w:p>
    <w:p>
      <w:pPr>
        <w:pStyle w:val="Style11"/>
        <w:keepLines/>
        <w:numPr>
          <w:ilvl w:val="0"/>
          <w:numId w:val="4"/>
        </w:numPr>
        <w:tabs>
          <w:tab w:val="left" w:pos="720" w:leader="none"/>
          <w:tab w:val="left" w:pos="1296" w:leader="none"/>
          <w:tab w:val="left" w:pos="1538" w:leader="none"/>
        </w:tabs>
        <w:ind w:hanging="360" w:start="720" w:end="0"/>
        <w:jc w:val="both"/>
        <w:rPr/>
      </w:pPr>
      <w:r>
        <w:rPr/>
        <w:t>Age Discrimination in Employment Act of 1967, as amended.</w:t>
      </w:r>
    </w:p>
    <w:p>
      <w:pPr>
        <w:pStyle w:val="Normal"/>
        <w:keepLines/>
        <w:tabs>
          <w:tab w:val="clear" w:pos="720"/>
          <w:tab w:val="left" w:pos="1296" w:leader="none"/>
          <w:tab w:val="left" w:pos="1538" w:leader="none"/>
        </w:tabs>
        <w:jc w:val="both"/>
        <w:rPr/>
      </w:pPr>
      <w:r>
        <w:rPr/>
      </w:r>
    </w:p>
    <w:p>
      <w:pPr>
        <w:pStyle w:val="Normal"/>
        <w:keepLines/>
        <w:tabs>
          <w:tab w:val="clear" w:pos="720"/>
          <w:tab w:val="left" w:pos="1296" w:leader="none"/>
          <w:tab w:val="left" w:pos="1538" w:leader="none"/>
        </w:tabs>
        <w:jc w:val="both"/>
        <w:rPr/>
      </w:pPr>
      <w:r>
        <w:rPr/>
        <w:tab/>
        <w:t>Consultant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Work is performed, in whole or in part. Consultant shall possess or procure all permits, certificates, and licenses necessary to allow Consultant to perform the Work at all locations of performance and shall ensure that Consultant’s subcontractors have all permits, certificates, and licenses necessary for such subcontractor, vendors and suppliers to perform such Work. Consultant shall answer promptly and in reasonable detail any questionnaire or other written or oral communications, to the extent the same pertain to compliance with this Article 12, whether such questionnaires or communications are from Company, its outside auditors, or other representatives. Consultant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Work or any portion of the Work with any or all of the above laws, regulations, rules, orders, codes, criteria, standards, ordinances or resolutions.</w:t>
      </w:r>
    </w:p>
    <w:p>
      <w:pPr>
        <w:pStyle w:val="Normal"/>
        <w:keepLines/>
        <w:tabs>
          <w:tab w:val="clear" w:pos="720"/>
          <w:tab w:val="left" w:pos="1296" w:leader="none"/>
          <w:tab w:val="left" w:pos="1538" w:leader="none"/>
        </w:tabs>
        <w:jc w:val="both"/>
        <w:rPr/>
      </w:pPr>
      <w:r>
        <w:rPr/>
      </w:r>
    </w:p>
    <w:p>
      <w:pPr>
        <w:pStyle w:val="Normal"/>
        <w:keepLines/>
        <w:tabs>
          <w:tab w:val="clear" w:pos="720"/>
          <w:tab w:val="left" w:pos="1296" w:leader="none"/>
          <w:tab w:val="left" w:pos="1538" w:leader="none"/>
        </w:tabs>
        <w:ind w:firstLine="1296" w:end="0"/>
        <w:jc w:val="both"/>
        <w:rPr/>
      </w:pPr>
      <w:r>
        <w:rPr/>
        <w:t>Consultant shall indemnify, defend and hold harmless Company, its affiliates and Company’s and its affiliates’ respective directors, officers, employees and agents (“Indemnitees”) from all losses, costs and damages by reason of any violation thereof, and from any liability including without limitation fines, penalties and other costs arising out of Consultant's failure to so comply.</w:t>
      </w:r>
    </w:p>
    <w:p>
      <w:pPr>
        <w:pStyle w:val="Normal"/>
        <w:keepLines/>
        <w:tabs>
          <w:tab w:val="clear" w:pos="720"/>
          <w:tab w:val="left" w:pos="1296" w:leader="none"/>
          <w:tab w:val="left" w:pos="1538" w:leader="none"/>
        </w:tabs>
        <w:ind w:firstLine="1296" w:end="0"/>
        <w:jc w:val="both"/>
        <w:rPr/>
      </w:pPr>
      <w:r>
        <w:rPr/>
      </w:r>
    </w:p>
    <w:p>
      <w:pPr>
        <w:pStyle w:val="Normal"/>
        <w:keepLines/>
        <w:tabs>
          <w:tab w:val="clear" w:pos="720"/>
          <w:tab w:val="left" w:pos="1296" w:leader="none"/>
          <w:tab w:val="left" w:pos="2966" w:leader="none"/>
        </w:tabs>
        <w:ind w:firstLine="1296" w:end="0"/>
        <w:jc w:val="both"/>
        <w:rPr/>
      </w:pPr>
      <w:r>
        <w:rPr>
          <w:rStyle w:val="Article"/>
        </w:rPr>
        <w:t>ARTICLE 13.</w:t>
        <w:tab/>
        <w:t>INDEMNIFICATION</w:t>
      </w:r>
      <w:r>
        <w:fldChar w:fldCharType="begin"/>
      </w:r>
      <w:r>
        <w:rPr/>
        <w:instrText xml:space="preserve"> TC "14.</w:instrText>
        <w:tab/>
        <w:instrText xml:space="preserve">INDEMNIFICATION" \l 1 </w:instrText>
      </w:r>
      <w:r>
        <w:rPr/>
        <w:fldChar w:fldCharType="separate"/>
      </w:r>
      <w:r>
        <w:rPr/>
      </w:r>
      <w:r>
        <w:rPr/>
        <w:fldChar w:fldCharType="end"/>
      </w:r>
      <w:r>
        <w:rPr/>
        <w:t>.  Consultant shall indemnify, defend and hold harmless Indemnitees from any and all claims, demands, suits, losses, costs and damages of every kind and description, including attorneys' fees at trial and appeal, brought or made against or incurred by any of the Indemnitees resulting from, arising out of, or in any way connected with any act, omission, fault or negligence of Consultant, its employees, agents, representatives or subcontractors of any tier, their employees, agents or representatives in the performance or nonperformance of Consultant's obligations under this Agreement or in any way related to this Agreement.  The indemnity obligations under this article shall include without limitation (i) loss of or damage to any property of Company, Consultant or any third party; (ii) injury, bodily or personal, to or death of any person(s), including without limitation employees of Company, Consultant or Consultant's subcontractors of any tier; (iii) claims arising out of Workers' Compensation, Unemployment Compensation or similar such laws or obligations applicable to employees of Consultant or its subcontractors of any tier, and (iv) claims relating to infringement of intellectual property rights, including without limitation patent, trademark, copyright, and other related claims.  Consultant's indemnity obligation under this article shall not extend to any liability caused by the sole negligence of any of the Indemnitees.</w:t>
      </w:r>
    </w:p>
    <w:p>
      <w:pPr>
        <w:pStyle w:val="Normal"/>
        <w:keepLines/>
        <w:tabs>
          <w:tab w:val="clear" w:pos="720"/>
          <w:tab w:val="left" w:pos="1296"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ARTICLE 14.</w:t>
        <w:tab/>
        <w:t>WORKERS' COMPENSATION</w:t>
      </w:r>
      <w:r>
        <w:fldChar w:fldCharType="begin"/>
      </w:r>
      <w:r>
        <w:rPr/>
        <w:instrText xml:space="preserve"> TC "15.</w:instrText>
        <w:tab/>
        <w:instrText xml:space="preserve">WORKERS' COMPENSATION" \l 1 </w:instrText>
      </w:r>
      <w:r>
        <w:rPr/>
        <w:fldChar w:fldCharType="separate"/>
      </w:r>
      <w:r>
        <w:rPr/>
      </w:r>
      <w:r>
        <w:rPr/>
        <w:fldChar w:fldCharType="end"/>
      </w:r>
      <w:r>
        <w:rPr/>
        <w:t>.  Consultant shall comply with all applicable Workers' Compensation Acts in the states having jurisdiction and shall furnish proof thereof satisfactory to Company prior to commencing work.</w:t>
      </w:r>
    </w:p>
    <w:p>
      <w:pPr>
        <w:pStyle w:val="Normal"/>
        <w:keepLines/>
        <w:tabs>
          <w:tab w:val="clear" w:pos="720"/>
          <w:tab w:val="left" w:pos="1296"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ARTICLE 15.</w:t>
        <w:tab/>
        <w:t>INSURANCE</w:t>
      </w:r>
      <w:r>
        <w:fldChar w:fldCharType="begin"/>
      </w:r>
      <w:r>
        <w:rPr/>
        <w:instrText xml:space="preserve"> TC "16.</w:instrText>
        <w:tab/>
        <w:instrText xml:space="preserve">INSURANCE" \l 1 </w:instrText>
      </w:r>
      <w:r>
        <w:rPr/>
        <w:fldChar w:fldCharType="separate"/>
      </w:r>
      <w:r>
        <w:rPr/>
      </w:r>
      <w:r>
        <w:rPr/>
        <w:fldChar w:fldCharType="end"/>
      </w:r>
      <w:r>
        <w:rPr/>
        <w:t>.  Without limiting any liabilities or any other obligations of Consultant, Consultant shall, from the date hereof and during its performance hereunder or as otherwise specified herein, comply with all the following minimum insurance requirements:</w:t>
      </w:r>
    </w:p>
    <w:p>
      <w:pPr>
        <w:pStyle w:val="Normal"/>
        <w:keepLines/>
        <w:tabs>
          <w:tab w:val="clear" w:pos="720"/>
          <w:tab w:val="left" w:pos="1296" w:leader="none"/>
          <w:tab w:val="left" w:pos="1742" w:leader="none"/>
          <w:tab w:val="left" w:pos="2966" w:leader="none"/>
        </w:tabs>
        <w:jc w:val="both"/>
        <w:rPr/>
      </w:pPr>
      <w:r>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Workers’ Compensation and Employers Liability Insurance</w:t>
      </w:r>
    </w:p>
    <w:p>
      <w:pPr>
        <w:pStyle w:val="BodyText2"/>
        <w:spacing w:lineRule="auto" w:line="240"/>
        <w:rPr>
          <w:rFonts w:ascii="Times New Roman" w:hAnsi="Times New Roman" w:cs="Times New Roman"/>
          <w:sz w:val="24"/>
        </w:rPr>
      </w:pPr>
      <w:r>
        <w:rPr>
          <w:rFonts w:cs="Times New Roman" w:ascii="Times New Roman" w:hAnsi="Times New Roman"/>
          <w:sz w:val="24"/>
        </w:rPr>
        <w:t>Consultant agrees to comply with Workers’ Compensation laws of the state where the Work is performed, and to maintain a Workers’ Compensation and Employers Liability policy.  This policy shall be endorsed to provide: all states coverage, voluntary compensation coverage and occupational disease.</w:t>
      </w:r>
    </w:p>
    <w:p>
      <w:pPr>
        <w:pStyle w:val="Normal"/>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pacing w:val="-2"/>
          <w:sz w:val="24"/>
        </w:rPr>
      </w:pPr>
      <w:r>
        <w:rPr>
          <w:rFonts w:cs="Times New Roman"/>
          <w:spacing w:val="-2"/>
          <w:sz w:val="24"/>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008" w:start="1008" w:end="0"/>
        <w:jc w:val="both"/>
        <w:rPr>
          <w:spacing w:val="-2"/>
        </w:rPr>
      </w:pPr>
      <w:r>
        <w:rPr>
          <w:spacing w:val="-2"/>
        </w:rPr>
        <w:t>Workers’ Compensation</w:t>
        <w:tab/>
        <w:t>Statutory</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008" w:start="1008" w:end="0"/>
        <w:jc w:val="both"/>
        <w:rPr>
          <w:spacing w:val="-2"/>
        </w:rPr>
      </w:pPr>
      <w:r>
        <w:rPr>
          <w:spacing w:val="-2"/>
        </w:rPr>
        <w:t>Employers Liability</w:t>
        <w:tab/>
        <w:t>$1,000,000  Each Accident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008" w:start="1008" w:end="0"/>
        <w:jc w:val="both"/>
        <w:rPr>
          <w:spacing w:val="-2"/>
        </w:rPr>
      </w:pPr>
      <w:r>
        <w:rPr>
          <w:spacing w:val="-2"/>
        </w:rPr>
        <w:tab/>
        <w:tab/>
        <w:tab/>
        <w:t>$1,000,000  Disease Each Employee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General Liability Insurance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General Liability insurance, endorsed to provide coverage for: explosion, collapse and underground damage to property of others; Contractual Liability (particularly the applicable provisions of the "Indemnity" section of this Agreement); Consultant's Protective Liability (if subcontracting is authorized) and Products and Completed Operations (for a minimum of two years after acceptance of the Work).</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 and</w:t>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3"/>
        <w:spacing w:lineRule="auto" w:line="240"/>
        <w:ind w:hanging="0" w:start="0"/>
        <w:rPr>
          <w:rFonts w:ascii="Times New Roman" w:hAnsi="Times New Roman" w:cs="Times New Roman"/>
          <w:sz w:val="24"/>
        </w:rPr>
      </w:pPr>
      <w:r>
        <w:rPr>
          <w:rFonts w:cs="Times New Roman" w:ascii="Times New Roman" w:hAnsi="Times New Roman"/>
          <w:sz w:val="24"/>
        </w:rPr>
        <w:t>OR</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pacing w:val="-2"/>
          <w:sz w:val="24"/>
        </w:rPr>
      </w:pPr>
      <w:r>
        <w:rPr>
          <w:rFonts w:cs="Times New Roman"/>
          <w:spacing w:val="-2"/>
          <w:sz w:val="24"/>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 and</w:t>
        <w:tab/>
        <w:tab/>
        <w:t>$1,000,000 Combined Single Limit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tab/>
        <w:tab/>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Automobile Liability Insurance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Automobile Liability insurance which shall include coverage for all owned, non</w:t>
        <w:noBreakHyphen/>
        <w:t>owned and hired vehicles.</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w:t>
        <w:tab/>
        <w:tab/>
        <w:t>$1,000,000  Each Person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ab/>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tab/>
        <w:tab/>
        <w:t>$1,000,000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3"/>
        <w:spacing w:lineRule="auto" w:line="240"/>
        <w:ind w:hanging="0" w:start="0"/>
        <w:rPr>
          <w:rFonts w:ascii="Times New Roman" w:hAnsi="Times New Roman" w:cs="Times New Roman"/>
          <w:sz w:val="24"/>
        </w:rPr>
      </w:pPr>
      <w:r>
        <w:rPr>
          <w:rFonts w:cs="Times New Roman" w:ascii="Times New Roman" w:hAnsi="Times New Roman"/>
          <w:sz w:val="24"/>
        </w:rPr>
        <w:t>OR</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pacing w:val="-2"/>
          <w:sz w:val="24"/>
        </w:rPr>
      </w:pPr>
      <w:r>
        <w:rPr>
          <w:rFonts w:cs="Times New Roman"/>
          <w:spacing w:val="-2"/>
          <w:sz w:val="24"/>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Bodily Injury and</w:t>
        <w:tab/>
        <w:tab/>
        <w:t>$1,000,000 Combined Single Limit Each Occurrence (Minimum)</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Property Damage</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Excess Umbrella Liability Insurance</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t xml:space="preserve">Bodily Injury and </w:t>
        <w:tab/>
        <w:t>$1,000,000 Combined Single Limit Each Occurrence (Minimum and Excess of Primary)</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t>Property Damage</w:t>
      </w:r>
    </w:p>
    <w:p>
      <w:pPr>
        <w:pStyle w:val="Normal"/>
        <w:rPr>
          <w:rFonts w:ascii="Times New Roman" w:hAnsi="Times New Roman" w:cs="Times New Roman"/>
          <w:b/>
          <w:sz w:val="24"/>
          <w:u w:val="none"/>
        </w:rPr>
      </w:pPr>
      <w:r>
        <w:rPr>
          <w:rFonts w:cs="Times New Roman"/>
          <w:b/>
          <w:sz w:val="24"/>
          <w:u w:val="none"/>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Professional Liability Insurance</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t>Errors and Omissions</w:t>
        <w:tab/>
        <w:t>$1,000,000 Each Occurrence (Minimum)</w:t>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b w:val="false"/>
          <w:sz w:val="24"/>
          <w:u w:val="none"/>
        </w:rPr>
      </w:pPr>
      <w:r>
        <w:rPr>
          <w:rFonts w:cs="Times New Roman" w:ascii="Times New Roman" w:hAnsi="Times New Roman"/>
          <w:b w:val="false"/>
          <w:sz w:val="24"/>
          <w:u w:val="none"/>
        </w:rPr>
      </w:r>
    </w:p>
    <w:p>
      <w:pPr>
        <w:pStyle w:val="Heading1"/>
        <w:tabs>
          <w:tab w:val="clear" w:pos="216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0"/>
        <w:rPr>
          <w:rFonts w:ascii="Times New Roman" w:hAnsi="Times New Roman" w:cs="Times New Roman"/>
          <w:sz w:val="24"/>
        </w:rPr>
      </w:pPr>
      <w:r>
        <w:rPr>
          <w:rFonts w:cs="Times New Roman" w:ascii="Times New Roman" w:hAnsi="Times New Roman"/>
          <w:sz w:val="24"/>
        </w:rPr>
        <w:t>Additional Requirements</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Consultant shall require any subcontractor at any tier, vendor, supplier, material dealer and others connected with the Work irrespective of their contractual relationship to Consultant or Company,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r>
    </w:p>
    <w:p>
      <w:pPr>
        <w:pStyle w:val="BodyText3"/>
        <w:rPr>
          <w:sz w:val="24"/>
        </w:rPr>
      </w:pPr>
      <w:r>
        <w:rPr>
          <w:sz w:val="24"/>
        </w:rPr>
        <w:t>Consultant shall submit to Company at the time Consultant executes this Agreement, a Certificate of Insurance, in form satisfactory to Company, evidencing that satisfactory coverages of the types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Consultant, or the failure of any insurance company to pay claims accruing, or the inadequacy of the limits of the insurance, shall not affect, negate or waive any of the provisions of this Agreement, including, without exception, the indemnity obligations of Consultant.</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sz w:val="24"/>
        </w:rPr>
      </w:pPr>
      <w:r>
        <w:rPr>
          <w:spacing w:val="-2"/>
          <w:sz w:val="24"/>
        </w:rPr>
      </w:r>
    </w:p>
    <w:p>
      <w:pPr>
        <w:pStyle w:val="BodyText3"/>
        <w:rPr>
          <w:sz w:val="24"/>
        </w:rPr>
      </w:pPr>
      <w:r>
        <w:rPr>
          <w:sz w:val="24"/>
        </w:rPr>
        <w:t>Consultant agrees to require any policies of insurance, except Workers' Compensation and professional liability coverages, which are in any way related to the Work and that are secured and maintained by Consultant or its subcontractors, to include Company, its parent and affiliated companies, and their directors, officers, employees and agents, as Additional Insured.  Furthermore, Consultant shall waive all rights of recovery against Company, its parent and affiliated companies which Consultant may have or acquire because of deductible clauses in or inadequacy of limits of, any policies of insurance maintained by Consultant.</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sz w:val="16"/>
        </w:rPr>
      </w:pPr>
      <w:r>
        <w:rPr>
          <w:spacing w:val="-2"/>
          <w:sz w:val="16"/>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pacing w:val="-2"/>
        </w:rPr>
      </w:pPr>
      <w:r>
        <w:rPr>
          <w:spacing w:val="-2"/>
        </w:rPr>
        <w:t>Consultant agrees to require all such policies of insurance which are in any way related to the Work and that are secured and maintained by Consultant or its subcontractors, to include clauses providing that each underwriter shall waive its rights of recovery, under subrogation or otherwise, against Company, its parent and affiliated companies and their directors, officers, employees and agents.</w:t>
      </w:r>
    </w:p>
    <w:p>
      <w:pPr>
        <w:pStyle w:val="Normal"/>
        <w:keepLines/>
        <w:tabs>
          <w:tab w:val="clear" w:pos="720"/>
          <w:tab w:val="left" w:pos="1296" w:leader="none"/>
          <w:tab w:val="left" w:pos="2966" w:leader="none"/>
        </w:tabs>
        <w:ind w:firstLine="1296" w:end="0"/>
        <w:jc w:val="both"/>
        <w:rPr>
          <w:rStyle w:val="Article"/>
          <w:sz w:val="16"/>
        </w:rPr>
      </w:pPr>
      <w:r>
        <w:rPr/>
      </w:r>
    </w:p>
    <w:p>
      <w:pPr>
        <w:pStyle w:val="Normal"/>
        <w:keepLines/>
        <w:tabs>
          <w:tab w:val="clear" w:pos="720"/>
          <w:tab w:val="left" w:pos="1296" w:leader="none"/>
          <w:tab w:val="left" w:pos="2966" w:leader="none"/>
        </w:tabs>
        <w:ind w:firstLine="1296" w:end="0"/>
        <w:jc w:val="both"/>
        <w:rPr/>
      </w:pPr>
      <w:r>
        <w:rPr>
          <w:rStyle w:val="Article"/>
        </w:rPr>
        <w:t>ARTICLE 16.</w:t>
        <w:tab/>
        <w:t>OWNERSHIP OF DESIGNS, DRAWINGS AND WORK PRODUCT</w:t>
      </w:r>
      <w:r>
        <w:fldChar w:fldCharType="begin"/>
      </w:r>
      <w:r>
        <w:rPr/>
        <w:instrText xml:space="preserve"> TC "17.</w:instrText>
        <w:tab/>
        <w:instrText xml:space="preserve">OWNERSHIP OF DESIGNS, DRAWINGS AND WORK PRODUCT" \l 1 </w:instrText>
      </w:r>
      <w:r>
        <w:rPr/>
        <w:fldChar w:fldCharType="separate"/>
      </w:r>
      <w:r>
        <w:rPr/>
      </w:r>
      <w:r>
        <w:rPr/>
        <w:fldChar w:fldCharType="end"/>
      </w:r>
      <w:r>
        <w:rPr/>
        <w:t>.  Except for “Consultant Intellectual Property” (as defined below), all materials prepared or developed hereunder by Consultant or its employees, or subcontractors or their employees or agents, including documents, calculations, maps, sketches, designs, tracings, notes, reports, data, computer programs, models and samples, shall become the property of Company when prepared, whether delivered to Company or not, and shall, together with any materials furnished Consultant and its employees by Company hereunder, be delivered to Company upon request, and, in any event, upon termination or final acceptance of the Work.  Consultant agrees that all Work prepared by it, or its employees, agents or subcontractors of any tier, or their employees, under this Agreement which is subject to protection under copyright laws constitutes "work made for hire," all copyrights to which belong to Company.  In any event, Consultant assigns to Company all intellectual property rights in such work whether by way of copyright, trade secret or otherwise, and whether or not subject to protection by copyright laws. Consultant shall retain sole ownership of any inventions, patents, copyrights, trade secrets and other forms of intellectual property (collectively, “Consultant Intellectual Property”) owned by Consultant prior to its entering into this Agreement or developed or acquired by Consultant outside of the scope of the Work under this Agreement and without reference to any intellectual property of Company or any of Company’s affiliates. Consultant hereby grants to Company a nonexclusive, perpetual, fully-paid worldwide license to use the Consultant Intellectual Property and other Consultant’s products, services, data, documentation or other deliverables provided to Company under this Agreement which are incorporated into the Work and the products and/or services delivered by Consultant hereunder.</w:t>
      </w:r>
    </w:p>
    <w:p>
      <w:pPr>
        <w:pStyle w:val="Normal"/>
        <w:keepLines/>
        <w:tabs>
          <w:tab w:val="clear" w:pos="720"/>
          <w:tab w:val="left" w:pos="1296" w:leader="none"/>
          <w:tab w:val="left" w:pos="2966" w:leader="none"/>
        </w:tabs>
        <w:ind w:firstLine="1296" w:end="0"/>
        <w:jc w:val="both"/>
        <w:rPr/>
      </w:pPr>
      <w:r>
        <w:rPr/>
      </w:r>
    </w:p>
    <w:p>
      <w:pPr>
        <w:pStyle w:val="Normal"/>
        <w:keepLines/>
        <w:tabs>
          <w:tab w:val="clear" w:pos="720"/>
          <w:tab w:val="left" w:pos="1296" w:leader="none"/>
          <w:tab w:val="left" w:pos="2966" w:leader="none"/>
        </w:tabs>
        <w:ind w:firstLine="1296" w:end="0"/>
        <w:jc w:val="both"/>
        <w:rPr/>
      </w:pPr>
      <w:r>
        <w:rPr>
          <w:rStyle w:val="Article"/>
        </w:rPr>
        <w:t>ARTICLE 17.  ACCOUNTING AND AUDITING</w:t>
      </w:r>
      <w:r>
        <w:fldChar w:fldCharType="begin"/>
      </w:r>
      <w:r>
        <w:rPr/>
        <w:instrText xml:space="preserve"> TC "19.</w:instrText>
        <w:tab/>
        <w:instrText xml:space="preserve">ACCOUNTING AND AUDITING" \l 1 </w:instrText>
      </w:r>
      <w:r>
        <w:rPr/>
        <w:fldChar w:fldCharType="separate"/>
      </w:r>
      <w:r>
        <w:rPr/>
      </w:r>
      <w:r>
        <w:rPr/>
        <w:fldChar w:fldCharType="end"/>
      </w:r>
      <w:r>
        <w:rPr/>
        <w:t>.  Consultant shall keep accurate and complete accounting records in support of all cost billings to Company in accordance with generally recognized accounting principles and practices.  Company, or its audit representatives, shall have the right at any reasonable time or times to examine, audit and reproduce the records, vouchers and their source documents which serve as the basis for compensation other than compensation which is fixed in amount by this Agreement.  Such documents shall be available for examination, audit and reproduction for three (3) years after the completion or termination of this Agreement.</w:t>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16"/>
        </w:rPr>
      </w:pPr>
      <w:r>
        <w:rPr>
          <w:sz w:val="16"/>
        </w:rPr>
      </w:r>
    </w:p>
    <w:p>
      <w:pPr>
        <w:pStyle w:val="Normal"/>
        <w:keepNext w:val="true"/>
        <w:keepLines/>
        <w:tabs>
          <w:tab w:val="clear" w:pos="720"/>
          <w:tab w:val="left" w:pos="1296" w:leader="none"/>
          <w:tab w:val="left" w:pos="2966" w:leader="none"/>
        </w:tabs>
        <w:ind w:firstLine="1296" w:end="0"/>
        <w:jc w:val="both"/>
        <w:rPr/>
      </w:pPr>
      <w:r>
        <w:rPr>
          <w:rStyle w:val="Article"/>
        </w:rPr>
        <w:t>ARTICLE 18.</w:t>
        <w:tab/>
        <w:t>PATENT AND COPYRIGHT</w:t>
      </w:r>
      <w:r>
        <w:fldChar w:fldCharType="begin"/>
      </w:r>
      <w:r>
        <w:rPr/>
        <w:instrText xml:space="preserve"> TC "20.</w:instrText>
        <w:tab/>
        <w:instrText xml:space="preserve">PATENT AND COPYRIGHT" \l 1 </w:instrText>
      </w:r>
      <w:r>
        <w:rPr/>
        <w:fldChar w:fldCharType="separate"/>
      </w:r>
      <w:r>
        <w:rPr/>
      </w:r>
      <w:r>
        <w:rPr/>
        <w:fldChar w:fldCharType="end"/>
      </w:r>
      <w:r>
        <w:rPr/>
        <w:t>.</w:t>
      </w:r>
    </w:p>
    <w:p>
      <w:pPr>
        <w:pStyle w:val="Normal"/>
        <w:keepLines/>
        <w:tabs>
          <w:tab w:val="clear" w:pos="720"/>
          <w:tab w:val="left" w:pos="1296" w:leader="none"/>
          <w:tab w:val="left" w:pos="1742" w:leader="none"/>
          <w:tab w:val="left" w:pos="1987" w:leader="none"/>
          <w:tab w:val="left" w:pos="2232" w:leader="none"/>
          <w:tab w:val="left" w:pos="2966" w:leader="none"/>
        </w:tabs>
        <w:ind w:firstLine="1296" w:end="0"/>
        <w:jc w:val="both"/>
        <w:rPr/>
      </w:pPr>
      <w:r>
        <w:rPr>
          <w:b/>
        </w:rPr>
        <w:t>18.1.</w:t>
        <w:tab/>
      </w:r>
      <w:r>
        <w:rPr>
          <w:b/>
          <w:u w:val="single"/>
        </w:rPr>
        <w:t>Indemnity</w:t>
      </w:r>
      <w:r>
        <w:rPr>
          <w:b/>
        </w:rPr>
        <w:t>.</w:t>
      </w:r>
      <w:r>
        <w:rPr/>
        <w:t xml:space="preserve">  Without in any way limiting Article 13, Consultant shall indemnify, defend and hold harmless Indemnitees against and from all claims, losses, costs, suits, judgments, damages and expenses, including attorneys' fees, of any kind or nature whatsoever, on account of infringement of any patent, copyrighted or uncopyrighted work, secret process, trade secret, trademark, unpatented invention, article, appliance or otherwise, including claims thereof, pertaining to, or arising from Consultant's performance under this Agreement.  Consultant shall have the right, in order to avoid such claims or actions, to substitute at its own expense noninfringing equipment, material or processes, or Consultant may modify at its own expense such infringing equipment, material or process so that they become noninfringing, provided that such substitution and modified equipment, material and processes shall meet the requirements of and be subject to the provisions of this Agreement.</w:t>
      </w:r>
    </w:p>
    <w:p>
      <w:pPr>
        <w:pStyle w:val="Normal"/>
        <w:keepLines/>
        <w:tabs>
          <w:tab w:val="clear" w:pos="720"/>
          <w:tab w:val="left" w:pos="1296" w:leader="none"/>
          <w:tab w:val="left" w:pos="1742" w:leader="none"/>
          <w:tab w:val="left" w:pos="1987" w:leader="none"/>
          <w:tab w:val="left" w:pos="2232" w:leader="none"/>
          <w:tab w:val="left" w:pos="2966" w:leader="none"/>
        </w:tabs>
        <w:ind w:firstLine="1296" w:end="0"/>
        <w:jc w:val="both"/>
        <w:rPr>
          <w:sz w:val="16"/>
        </w:rPr>
      </w:pPr>
      <w:r>
        <w:rPr>
          <w:sz w:val="16"/>
        </w:rPr>
      </w:r>
    </w:p>
    <w:p>
      <w:pPr>
        <w:pStyle w:val="Normal"/>
        <w:keepLines/>
        <w:tabs>
          <w:tab w:val="clear" w:pos="720"/>
          <w:tab w:val="left" w:pos="1296" w:leader="none"/>
          <w:tab w:val="left" w:pos="1742" w:leader="none"/>
          <w:tab w:val="left" w:pos="1987" w:leader="none"/>
          <w:tab w:val="left" w:pos="2232" w:leader="none"/>
          <w:tab w:val="left" w:pos="2966" w:leader="none"/>
        </w:tabs>
        <w:ind w:firstLine="1296" w:end="0"/>
        <w:jc w:val="both"/>
        <w:rPr/>
      </w:pPr>
      <w:r>
        <w:rPr>
          <w:b/>
        </w:rPr>
        <w:t>18.2.</w:t>
        <w:tab/>
      </w:r>
      <w:r>
        <w:rPr>
          <w:b/>
          <w:u w:val="single"/>
        </w:rPr>
        <w:t>Inventions</w:t>
      </w:r>
      <w:r>
        <w:rPr>
          <w:b/>
        </w:rPr>
        <w:t>.</w:t>
      </w:r>
      <w:r>
        <w:rPr/>
        <w:t xml:space="preserve">  Should Consultant or its employees, officers, agents, subcontractors of any tier, or anyone of a like nature originate or develop any trade secret, discovery, improvement, idea, formula, process or invention (collectively "Invention") in performance of the Work, such Invention, whether or not patentable and whether or not reduced to practice, shall be disclosed to and shall be the property of Company, and Consultant hereby assigns to Company all of its right, title and interest in such Invention, and agrees to execute all documents which Company reasonably determines to be necessary or convenient for use in applying for, perfecting or enforcing patents or other intellectual property rights, including without limitation the execution of any assignments, patent applications, or other documents which may reasonably be requested by Company.</w:t>
      </w:r>
    </w:p>
    <w:p>
      <w:pPr>
        <w:pStyle w:val="Normal"/>
        <w:keepLines/>
        <w:tabs>
          <w:tab w:val="clear" w:pos="720"/>
          <w:tab w:val="left" w:pos="1296" w:leader="none"/>
          <w:tab w:val="left" w:pos="2966" w:leader="none"/>
        </w:tabs>
        <w:ind w:firstLine="1296" w:end="0"/>
        <w:jc w:val="both"/>
        <w:rPr>
          <w:rStyle w:val="Article"/>
        </w:rPr>
      </w:pPr>
      <w:r>
        <w:rPr/>
      </w:r>
    </w:p>
    <w:p>
      <w:pPr>
        <w:pStyle w:val="Normal"/>
        <w:keepLines/>
        <w:tabs>
          <w:tab w:val="clear" w:pos="720"/>
          <w:tab w:val="left" w:pos="1296" w:leader="none"/>
          <w:tab w:val="left" w:pos="2966" w:leader="none"/>
        </w:tabs>
        <w:ind w:firstLine="1296" w:end="0"/>
        <w:jc w:val="both"/>
        <w:rPr/>
      </w:pPr>
      <w:r>
        <w:rPr>
          <w:rStyle w:val="Article"/>
        </w:rPr>
        <w:t>ARTICLE 19.</w:t>
        <w:tab/>
        <w:t>NONDISCLOSURE</w:t>
      </w:r>
      <w:r>
        <w:fldChar w:fldCharType="begin"/>
      </w:r>
      <w:r>
        <w:rPr/>
        <w:instrText xml:space="preserve"> TC "21.</w:instrText>
        <w:tab/>
        <w:instrText xml:space="preserve">NONDISCLOSURE" \l 1 </w:instrText>
      </w:r>
      <w:r>
        <w:rPr/>
        <w:fldChar w:fldCharType="separate"/>
      </w:r>
      <w:r>
        <w:rPr/>
      </w:r>
      <w:r>
        <w:rPr/>
        <w:fldChar w:fldCharType="end"/>
      </w:r>
      <w:r>
        <w:rPr/>
        <w:t>.  Consultant  agrees to treat as confidential all information obtained or developed by it in the performance of the Work, as well as all material and information provided to Consultant by Company, and not disclose the same to any third party in any manner without Company's prior written consent.  It is understood and agreed that money damages would not be a sufficient remedy for any breach of this Article and that Company shall be entitled to injunctive relief as well as reimbursement by Consultant for legal and other expenses as a remedy for any such breach.  Such remedy shall not be deemed to be the exclusive remedy for the breach of the provisions of this Article but shall be in addition to all other remedies available at law or in equity.  Notwithstanding anything to the contrary, the confidentiality provisions of this Article shall survive termination and expiration of this Agreement.  This provision shall not apply to information which (a) is, or becomes, publicly known, otherwise than through a wrongful act of Consultant; (b) is in the possession of Consultant prior to receipt from the Company, or is independently developed by the Consultant, provided that it was not derived from confidential information of Company or its affiliates; (c) is furnished to others by the Company without restrictions similar to those herein on the right of such others to use or disclose; or (d) is approved in writing by the Company for disclosure by Consultant.</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ARTICLE 20.</w:t>
        <w:tab/>
        <w:t>ASSIGNMENT AND SUBCONTRACTS</w:t>
      </w:r>
      <w:r>
        <w:fldChar w:fldCharType="begin"/>
      </w:r>
      <w:r>
        <w:rPr/>
        <w:instrText xml:space="preserve"> TC "22.</w:instrText>
        <w:tab/>
        <w:instrText xml:space="preserve">ASSIGNMENT AND SUBCONTRACTS" \l 1 </w:instrText>
      </w:r>
      <w:r>
        <w:rPr/>
        <w:fldChar w:fldCharType="separate"/>
      </w:r>
      <w:r>
        <w:rPr/>
      </w:r>
      <w:r>
        <w:rPr/>
        <w:fldChar w:fldCharType="end"/>
      </w:r>
      <w:r>
        <w:rPr/>
        <w:t>.  Consultant shall not assign this Agreement or any rights or responsibilities hereunder, or subcontract any of the Work to be performed by it without the express written consent of Company, and any such attempted assignment or subcontracting shall be void.  If assignment or subcontracting is done with such consent, it shall not relieve Consultant from its responsibility for the performance of any of its obligations hereunder.</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keepLines/>
        <w:tabs>
          <w:tab w:val="clear" w:pos="720"/>
          <w:tab w:val="left" w:pos="1296" w:leader="none"/>
          <w:tab w:val="left" w:pos="2966" w:leader="none"/>
        </w:tabs>
        <w:ind w:firstLine="1296" w:end="0"/>
        <w:jc w:val="both"/>
        <w:rPr/>
      </w:pPr>
      <w:r>
        <w:rPr>
          <w:rStyle w:val="Article"/>
        </w:rPr>
        <w:t>ARTICLE 21.</w:t>
        <w:tab/>
        <w:t>NONWAIVER</w:t>
      </w:r>
      <w:r>
        <w:fldChar w:fldCharType="begin"/>
      </w:r>
      <w:r>
        <w:rPr/>
        <w:instrText xml:space="preserve"> TC "23.</w:instrText>
        <w:tab/>
        <w:instrText xml:space="preserve">NONWAIVER" \l 1 </w:instrText>
      </w:r>
      <w:r>
        <w:rPr/>
        <w:fldChar w:fldCharType="separate"/>
      </w:r>
      <w:r>
        <w:rPr/>
      </w:r>
      <w:r>
        <w:rPr/>
        <w:fldChar w:fldCharType="end"/>
      </w:r>
      <w:r>
        <w:rPr/>
        <w:t>.  The failure of Company to insist upon or enforce strict performance by Consultant of any of the terms of this Agreement or to exercise any rights herein shall not be construed as a waiver or relinquishment to any extent of Company's right to assert or rely upon such terms or rights on any future occasion.</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tabs>
          <w:tab w:val="clear" w:pos="720"/>
          <w:tab w:val="left" w:pos="1296" w:leader="none"/>
          <w:tab w:val="left" w:pos="2966" w:leader="none"/>
        </w:tabs>
        <w:ind w:firstLine="1296" w:end="0"/>
        <w:rPr>
          <w:rStyle w:val="Article"/>
        </w:rPr>
      </w:pPr>
      <w:r>
        <w:rPr>
          <w:rStyle w:val="Article"/>
        </w:rPr>
        <w:t>ARTICLE 22.</w:t>
        <w:tab/>
        <w:t>DISPUTES</w:t>
      </w:r>
      <w:r>
        <w:fldChar w:fldCharType="begin"/>
      </w:r>
      <w:r>
        <w:rPr/>
        <w:instrText xml:space="preserve"> TC "24.</w:instrText>
        <w:tab/>
        <w:instrText xml:space="preserve">DISPUTES" \l 1 </w:instrText>
      </w:r>
      <w:r>
        <w:rPr/>
        <w:fldChar w:fldCharType="separate"/>
      </w:r>
      <w:r>
        <w:rPr/>
      </w:r>
      <w:r>
        <w:rPr/>
        <w:fldChar w:fldCharType="end"/>
      </w:r>
      <w:r>
        <w:rPr/>
        <w:t>.  Except as otherwise provided herein, any dispute arising hereunder which is not disposed of by agreement shall be decided by binding arbitration conducted in Houston, Texas, before one arbitrator, pursuant to the rules of the American Arbitration Association.</w:t>
      </w:r>
    </w:p>
    <w:p>
      <w:pPr>
        <w:pStyle w:val="Normal"/>
        <w:tabs>
          <w:tab w:val="clear" w:pos="720"/>
          <w:tab w:val="left" w:pos="1296" w:leader="none"/>
          <w:tab w:val="left" w:pos="2966" w:leader="none"/>
        </w:tabs>
        <w:ind w:firstLine="1296" w:end="0"/>
        <w:rPr>
          <w:rStyle w:val="Article"/>
        </w:rPr>
      </w:pPr>
      <w:r>
        <w:rPr/>
      </w:r>
    </w:p>
    <w:p>
      <w:pPr>
        <w:pStyle w:val="Normal"/>
        <w:tabs>
          <w:tab w:val="clear" w:pos="720"/>
          <w:tab w:val="left" w:pos="1296" w:leader="none"/>
          <w:tab w:val="left" w:pos="2966" w:leader="none"/>
        </w:tabs>
        <w:ind w:firstLine="1296" w:end="0"/>
        <w:rPr/>
      </w:pPr>
      <w:r>
        <w:rPr>
          <w:rStyle w:val="Article"/>
        </w:rPr>
        <w:t>ARTICLE 23.</w:t>
        <w:tab/>
        <w:t>NOTICES</w:t>
      </w:r>
      <w:r>
        <w:fldChar w:fldCharType="begin"/>
      </w:r>
      <w:r>
        <w:rPr/>
        <w:instrText xml:space="preserve"> TC "25.</w:instrText>
        <w:tab/>
        <w:instrText xml:space="preserve">NOTICES" \l 1 </w:instrText>
      </w:r>
      <w:r>
        <w:rPr/>
        <w:fldChar w:fldCharType="separate"/>
      </w:r>
      <w:r>
        <w:rPr/>
      </w:r>
      <w:r>
        <w:rPr/>
        <w:fldChar w:fldCharType="end"/>
      </w:r>
      <w:r>
        <w:rPr/>
        <w:t>.  Any notice by either Party to the other hereunder shall be served, if delivered in person, to the address set forth on the signature page hereof, or, if deposited in the mail, properly stamped with the required postage and addressed to the Party at such address.  Either Party may change its address for notices by giving the other Party written notice of such change.</w:t>
      </w:r>
    </w:p>
    <w:p>
      <w:pPr>
        <w:pStyle w:val="Footer"/>
        <w:tabs>
          <w:tab w:val="clear" w:pos="4320"/>
          <w:tab w:val="clear" w:pos="8640"/>
        </w:tabs>
        <w:rPr/>
      </w:pPr>
      <w:r>
        <w:rPr/>
      </w:r>
    </w:p>
    <w:p>
      <w:pPr>
        <w:pStyle w:val="Normal"/>
        <w:tabs>
          <w:tab w:val="clear" w:pos="720"/>
          <w:tab w:val="left" w:pos="1296" w:leader="none"/>
          <w:tab w:val="left" w:pos="2966" w:leader="none"/>
        </w:tabs>
        <w:ind w:firstLine="1296" w:end="0"/>
        <w:jc w:val="both"/>
        <w:rPr/>
      </w:pPr>
      <w:r>
        <w:rPr>
          <w:rStyle w:val="Article"/>
        </w:rPr>
        <w:t>ARTICLE 24.</w:t>
        <w:tab/>
        <w:t>SEVERABILITY</w:t>
      </w:r>
      <w:r>
        <w:fldChar w:fldCharType="begin"/>
      </w:r>
      <w:r>
        <w:rPr/>
        <w:instrText xml:space="preserve"> TC "26.</w:instrText>
        <w:tab/>
        <w:instrText xml:space="preserve">SEVERABILITY" \l 1 </w:instrText>
      </w:r>
      <w:r>
        <w:rPr/>
        <w:fldChar w:fldCharType="separate"/>
      </w:r>
      <w:r>
        <w:rPr/>
      </w:r>
      <w:r>
        <w:rPr/>
        <w:fldChar w:fldCharType="end"/>
      </w:r>
      <w:r>
        <w:rPr/>
        <w:t>.  Any provisions of this Agreement prohibited or rendered unenforceable by local, state or federal law shall be ineffective only to the extent of such prohibition or unenforceability without invalidating the remaining provisions of this Agreement.</w:t>
      </w:r>
    </w:p>
    <w:p>
      <w:pPr>
        <w:pStyle w:val="Footer"/>
        <w:tabs>
          <w:tab w:val="clear" w:pos="4320"/>
          <w:tab w:val="clear" w:pos="8640"/>
        </w:tabs>
        <w:rPr/>
      </w:pPr>
      <w:r>
        <w:rPr/>
      </w:r>
    </w:p>
    <w:p>
      <w:pPr>
        <w:pStyle w:val="Normal"/>
        <w:tabs>
          <w:tab w:val="clear" w:pos="720"/>
          <w:tab w:val="left" w:pos="1296" w:leader="none"/>
          <w:tab w:val="left" w:pos="2966" w:leader="none"/>
        </w:tabs>
        <w:ind w:firstLine="1296" w:end="0"/>
        <w:jc w:val="both"/>
        <w:rPr/>
      </w:pPr>
      <w:r>
        <w:rPr>
          <w:rStyle w:val="Article"/>
        </w:rPr>
        <w:t>ARTICLE 25.</w:t>
        <w:tab/>
        <w:t>ATTORNEY FEES/APPLICABLE LAW</w:t>
      </w:r>
      <w:r>
        <w:fldChar w:fldCharType="begin"/>
      </w:r>
      <w:r>
        <w:rPr/>
        <w:instrText xml:space="preserve"> TC "27.</w:instrText>
        <w:tab/>
        <w:instrText xml:space="preserve">APPLICABLE LAW" \l 1 </w:instrText>
      </w:r>
      <w:r>
        <w:rPr/>
        <w:fldChar w:fldCharType="separate"/>
      </w:r>
      <w:r>
        <w:rPr/>
      </w:r>
      <w:r>
        <w:rPr/>
        <w:fldChar w:fldCharType="end"/>
      </w:r>
      <w:r>
        <w:rPr/>
        <w:t>.  In the event of any legal action to enforce any of the terms of this Agreement, the prevailing Party shall be entitled to its reasonable attorney fees, including attorney fees on appeal and review.  This Agreement shall be governed by, and construed, interpreted and enforced in accordance with, the substantive law of the State of Texas, excluding any conflict of laws principles.   Further, the Parties stipulate that this Agreement is deemed to have been made and entered into by them in the State of Texas.  With respect to any suit, action or proceedings relating to this Agreement (the “Proceedings”) the Parties agree that venue shall be in a state or federal court located within Harris County, Texas, and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rPr>
        <w:t>ARTICLE 26.</w:t>
        <w:tab/>
        <w:t xml:space="preserve">LIENS </w:t>
      </w:r>
      <w:r>
        <w:fldChar w:fldCharType="begin"/>
      </w:r>
      <w:r>
        <w:rPr/>
        <w:instrText xml:space="preserve"> TC "28.</w:instrText>
        <w:tab/>
        <w:instrText xml:space="preserve">LIENS" \l 1 </w:instrText>
      </w:r>
      <w:r>
        <w:rPr/>
        <w:fldChar w:fldCharType="separate"/>
      </w:r>
      <w:r>
        <w:rPr/>
      </w:r>
      <w:r>
        <w:rPr/>
        <w:fldChar w:fldCharType="end"/>
      </w:r>
      <w:r>
        <w:rPr>
          <w:rStyle w:val="Article"/>
          <w:b w:val="false"/>
          <w:u w:val="none"/>
        </w:rPr>
        <w:t xml:space="preserve">  </w:t>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u w:val="none"/>
        </w:rPr>
        <w:t>26.1</w:t>
        <w:tab/>
        <w:tab/>
      </w:r>
      <w:r>
        <w:rPr>
          <w:rStyle w:val="Article"/>
        </w:rPr>
        <w:t>No Liens.</w:t>
      </w:r>
      <w:r>
        <w:rPr>
          <w:rStyle w:val="Article"/>
          <w:b w:val="false"/>
          <w:u w:val="none"/>
        </w:rPr>
        <w:t xml:space="preserve"> Consultant shall not permit any lien of any kind to be placed on any property, tangible or intangible, owned or leased by Company or upon which Consultant’s Work hereunder is performed.</w:t>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u w:val="none"/>
        </w:rPr>
        <w:t>26.2</w:t>
        <w:tab/>
        <w:tab/>
      </w:r>
      <w:r>
        <w:rPr>
          <w:rStyle w:val="Article"/>
        </w:rPr>
        <w:t>Right to Discharge Liens</w:t>
      </w:r>
      <w:r>
        <w:rPr>
          <w:rStyle w:val="Article"/>
          <w:b w:val="false"/>
          <w:u w:val="none"/>
        </w:rPr>
        <w:t>. If any lien, claim, security interest or other encumbrance in favor of any subcontractor, vendor or supplier of Consultant is filed against Company or Company’s property, and if Consultant has not caused the lien to be released and discharged, or has not filed a bond in lieu thereof which is satisfactory in all respects to Company within five (5) days after the lien, claim, security interest or other encumbrance is filed, Company may withhold payment from Consultant in the amount of the lien, claim, security interest or other encumbrance (and all costs, interest and other amounts which have accrued or may accrue in connection therewith) until such time as Consultant removes and secures the release of such lien, claim, security interest or other encumbrance in accordance with Section 26.3. If any such liens, claims, security interests or other encumbrances remain filed or otherwise imposed against Company or Company’s property at the time of completion of the applicable Statement of Work, Company shall have the right, but not the obligation, to pay all sums necessary to obtain a release or discharge of the liens, claims, security interests or other encumbrances and deduct all such amounts from any amounts due Consultant from Company.</w:t>
      </w:r>
    </w:p>
    <w:p>
      <w:pPr>
        <w:pStyle w:val="Normal"/>
        <w:tabs>
          <w:tab w:val="clear" w:pos="720"/>
          <w:tab w:val="left" w:pos="1296" w:leader="none"/>
          <w:tab w:val="left" w:pos="1742" w:leader="none"/>
          <w:tab w:val="left" w:pos="1987" w:leader="none"/>
          <w:tab w:val="left" w:pos="2232" w:leader="none"/>
          <w:tab w:val="left" w:pos="2966" w:leader="none"/>
        </w:tabs>
        <w:ind w:firstLine="1296" w:end="0"/>
        <w:rPr/>
      </w:pPr>
      <w:r>
        <w:rPr>
          <w:rStyle w:val="Article"/>
          <w:u w:val="none"/>
        </w:rPr>
        <w:t>26.3</w:t>
        <w:tab/>
        <w:tab/>
      </w:r>
      <w:r>
        <w:rPr>
          <w:rStyle w:val="Article"/>
        </w:rPr>
        <w:t xml:space="preserve">Lien Release. </w:t>
      </w:r>
      <w:r>
        <w:rPr>
          <w:rStyle w:val="Article"/>
          <w:b w:val="false"/>
          <w:u w:val="none"/>
        </w:rPr>
        <w:t>If the Work is of the kind which allows any property owned or leased by Company or upon which the Work is performed to be subjected to liens, claims, security interests or encumbrances, Company shall not be required to make final payment to Consultant and Consultant shall not be entitled to final payment for Work unless and until Consultant submits to Company: (i) an affidavit that all payrolls, bills for materials, labor and equipment, and other indebtedness connected with the Work for which Company or Company’s property might be responsible or encumbered have been paid or otherwise satisfied; and (ii) a release and waiver of liens, claims, security interests and encumbrances arising out of the Work in the form set forth in Attachment B or other form acceptable to Company for Consultant and each of its subcontractors, suppliers, and vendors.</w:t>
      </w:r>
    </w:p>
    <w:p>
      <w:pPr>
        <w:pStyle w:val="Normal"/>
        <w:tabs>
          <w:tab w:val="clear" w:pos="720"/>
          <w:tab w:val="left" w:pos="1296" w:leader="none"/>
          <w:tab w:val="left" w:pos="1742" w:leader="none"/>
          <w:tab w:val="left" w:pos="1987" w:leader="none"/>
          <w:tab w:val="left" w:pos="2232" w:leader="none"/>
          <w:tab w:val="left" w:pos="2966" w:leader="none"/>
        </w:tabs>
        <w:ind w:firstLine="1296" w:end="0"/>
        <w:rPr>
          <w:rStyle w:val="Article"/>
          <w:b w:val="false"/>
          <w:u w:val="none"/>
        </w:rPr>
      </w:pPr>
      <w:r>
        <w:rPr/>
      </w:r>
    </w:p>
    <w:p>
      <w:pPr>
        <w:pStyle w:val="Normal"/>
        <w:keepLines/>
        <w:tabs>
          <w:tab w:val="clear" w:pos="720"/>
          <w:tab w:val="left" w:pos="1296" w:leader="none"/>
          <w:tab w:val="left" w:pos="1742" w:leader="none"/>
          <w:tab w:val="left" w:pos="1987" w:leader="none"/>
          <w:tab w:val="left" w:pos="2232" w:leader="none"/>
          <w:tab w:val="left" w:pos="2966" w:leader="none"/>
        </w:tabs>
        <w:ind w:firstLine="1296" w:end="0"/>
        <w:rPr>
          <w:rStyle w:val="Article"/>
          <w:b w:val="false"/>
          <w:u w:val="none"/>
        </w:rPr>
      </w:pPr>
      <w:r>
        <w:rPr/>
      </w:r>
    </w:p>
    <w:p>
      <w:pPr>
        <w:pStyle w:val="Normal"/>
        <w:keepLines/>
        <w:tabs>
          <w:tab w:val="clear" w:pos="720"/>
          <w:tab w:val="left" w:pos="1296" w:leader="none"/>
          <w:tab w:val="left" w:pos="2966" w:leader="none"/>
        </w:tabs>
        <w:ind w:firstLine="1296" w:end="0"/>
        <w:jc w:val="both"/>
        <w:rPr/>
      </w:pPr>
      <w:r>
        <w:rPr>
          <w:rStyle w:val="Article"/>
        </w:rPr>
        <w:t>ARTICLE 27.</w:t>
        <w:tab/>
        <w:t>NON EXCLUSIVE RIGHTS.</w:t>
      </w:r>
      <w:r>
        <w:rPr>
          <w:rStyle w:val="Article"/>
          <w:b w:val="false"/>
          <w:u w:val="none"/>
        </w:rPr>
        <w:t xml:space="preserve"> This Agreement is not exclusive and Company retains the right, at its sole discretion, to acquire the same or similar services from others without any obligation to Consultant.</w:t>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keepLines/>
        <w:tabs>
          <w:tab w:val="clear" w:pos="720"/>
          <w:tab w:val="left" w:pos="1296" w:leader="none"/>
          <w:tab w:val="left" w:pos="2966" w:leader="none"/>
        </w:tabs>
        <w:ind w:firstLine="1296" w:end="0"/>
        <w:jc w:val="both"/>
        <w:rPr/>
      </w:pPr>
      <w:r>
        <w:rPr>
          <w:rStyle w:val="Article"/>
        </w:rPr>
        <w:t>ARTICLE 28.</w:t>
        <w:tab/>
        <w:t>PUBLIC RELEASES.</w:t>
      </w:r>
      <w:r>
        <w:rPr>
          <w:rStyle w:val="Article"/>
          <w:b w:val="false"/>
          <w:u w:val="none"/>
        </w:rPr>
        <w:t xml:space="preserve"> Nothing contained herein shall permit or be deemed to permit use by Consultant of Company’s name, directly or indirectly, in the form of advertising or in a press release without the prior receipt of Company’s written approval.</w:t>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keepLines/>
        <w:tabs>
          <w:tab w:val="clear" w:pos="720"/>
          <w:tab w:val="left" w:pos="1296" w:leader="none"/>
          <w:tab w:val="left" w:pos="2966" w:leader="none"/>
        </w:tabs>
        <w:ind w:firstLine="1296" w:end="0"/>
        <w:jc w:val="both"/>
        <w:rPr/>
      </w:pPr>
      <w:r>
        <w:rPr>
          <w:rStyle w:val="Article"/>
          <w:u w:val="none"/>
        </w:rPr>
        <w:t>ARTICLE 29.</w:t>
        <w:tab/>
      </w:r>
      <w:r>
        <w:rPr>
          <w:rStyle w:val="Article"/>
        </w:rPr>
        <w:t>ACTIVITIES ON COMPANY PREMISES</w:t>
      </w:r>
      <w:r>
        <w:rPr>
          <w:rStyle w:val="Article"/>
          <w:u w:val="none"/>
        </w:rPr>
        <w:t>.</w:t>
      </w:r>
      <w:r>
        <w:rPr>
          <w:rStyle w:val="Article"/>
          <w:b w:val="false"/>
          <w:u w:val="none"/>
        </w:rPr>
        <w:t xml:space="preserve"> Whenever any of the Work is performed on premises owned, leased, or occupied by Company, personnel performing such Work shall be required by Consultant to conduct themselves in a manner consistent with Company’s requirements for its own employees. Consultant will, upon Company’s request, remove from further performance of the Work any such personnel which Company reasonably determines do not meet such requirements.</w:t>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keepLines/>
        <w:tabs>
          <w:tab w:val="clear" w:pos="720"/>
          <w:tab w:val="left" w:pos="1296" w:leader="none"/>
          <w:tab w:val="left" w:pos="2966" w:leader="none"/>
        </w:tabs>
        <w:ind w:firstLine="1296" w:end="0"/>
        <w:jc w:val="both"/>
        <w:rPr/>
      </w:pPr>
      <w:r>
        <w:rPr>
          <w:rStyle w:val="Article"/>
          <w:u w:val="none"/>
        </w:rPr>
        <w:t>ARTICLE 30.</w:t>
        <w:tab/>
      </w:r>
      <w:r>
        <w:rPr>
          <w:rStyle w:val="Article"/>
        </w:rPr>
        <w:t>TAXES AND CONTRIBUTIONS</w:t>
      </w:r>
      <w:r>
        <w:rPr>
          <w:rStyle w:val="Article"/>
          <w:b w:val="false"/>
          <w:u w:val="none"/>
        </w:rPr>
        <w:t>. Consultant assumes full responsibility for and agrees to pay all contributions and taxes payable under all applicable federal, state and local social security laws, unemployment compensation laws and income tax laws and national and local standards, export and import laws and regulations, issued or promulgated by units of government and regulatory bodies with jurisdiction over any aspect of the Work as to all of its employees, including seconded personnel, engaged in the performance of Work hereunder. Consultant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Consultant fails to pay in connection with, as a result of, arising from or based on the Work or any portion of the Work hereunder or otherwise comply with this Article 30.</w:t>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keepLines/>
        <w:tabs>
          <w:tab w:val="clear" w:pos="720"/>
          <w:tab w:val="left" w:pos="1296" w:leader="none"/>
          <w:tab w:val="left" w:pos="2966" w:leader="none"/>
        </w:tabs>
        <w:ind w:firstLine="1296" w:end="0"/>
        <w:jc w:val="both"/>
        <w:rPr/>
      </w:pPr>
      <w:r>
        <w:rPr>
          <w:rStyle w:val="Article"/>
          <w:u w:val="none"/>
        </w:rPr>
        <w:t>ARTICLE 31.</w:t>
        <w:tab/>
      </w:r>
      <w:r>
        <w:rPr>
          <w:rStyle w:val="Article"/>
        </w:rPr>
        <w:t>SURVIVAL</w:t>
      </w:r>
      <w:r>
        <w:rPr>
          <w:rStyle w:val="Article"/>
          <w:u w:val="none"/>
        </w:rPr>
        <w:t>.</w:t>
      </w:r>
      <w:r>
        <w:rPr>
          <w:rStyle w:val="Article"/>
          <w:b w:val="false"/>
          <w:u w:val="none"/>
        </w:rPr>
        <w:t xml:space="preserve"> The following Articles shall survive termination of this Agreement: 5. Consideration and Payment, 7. Professional Responsibility/Remedies, 12. Laws and Regulations, 13. Indemnification, 16. Ownership of Designs, Drawings and Work Product, 18. Patent and Copyright, 19. Nondisclosure, 21. Nonwaiver, 22. Disputes, 24. Severability, 25. Attorney Fees/Applicable Law,  26. Liens,  28. Public Releases,  30. Taxes and Contributions.</w:t>
      </w:r>
      <w:r>
        <w:br w:type="page"/>
      </w:r>
    </w:p>
    <w:p>
      <w:pPr>
        <w:pStyle w:val="Normal"/>
        <w:keepLines/>
        <w:tabs>
          <w:tab w:val="clear" w:pos="720"/>
          <w:tab w:val="left" w:pos="1296" w:leader="none"/>
          <w:tab w:val="left" w:pos="2966" w:leader="none"/>
        </w:tabs>
        <w:ind w:firstLine="1296" w:end="0"/>
        <w:jc w:val="both"/>
        <w:rPr>
          <w:rStyle w:val="Article"/>
          <w:b w:val="false"/>
          <w:u w:val="none"/>
        </w:rPr>
      </w:pPr>
      <w:r>
        <w:rPr/>
      </w:r>
    </w:p>
    <w:p>
      <w:pPr>
        <w:pStyle w:val="Normal"/>
        <w:keepLines/>
        <w:tabs>
          <w:tab w:val="clear" w:pos="720"/>
          <w:tab w:val="left" w:pos="1296" w:leader="none"/>
          <w:tab w:val="left" w:pos="2966" w:leader="none"/>
        </w:tabs>
        <w:ind w:firstLine="1296" w:end="0"/>
        <w:jc w:val="both"/>
        <w:rPr/>
      </w:pPr>
      <w:r>
        <w:rPr>
          <w:rStyle w:val="Article"/>
        </w:rPr>
        <w:t>ARTICLE 32.</w:t>
        <w:tab/>
        <w:t>COMPLETE AGREEMENT AND EFFECTIVE DATE</w:t>
      </w:r>
      <w:r>
        <w:fldChar w:fldCharType="begin"/>
      </w:r>
      <w:r>
        <w:rPr/>
        <w:instrText xml:space="preserve"> TC "29.</w:instrText>
        <w:tab/>
        <w:instrText xml:space="preserve">COMPLETE AGREEMENT AND EFFECTIVE DATE" \l 1 </w:instrText>
      </w:r>
      <w:r>
        <w:rPr/>
        <w:fldChar w:fldCharType="separate"/>
      </w:r>
      <w:r>
        <w:rPr/>
      </w:r>
      <w:r>
        <w:rPr/>
        <w:fldChar w:fldCharType="end"/>
      </w:r>
      <w:r>
        <w:rPr/>
        <w:t>.  This Agreement, each Statement of Work and any referenced attachments constitute the complete agreement between the parties.  It is subject to change only by an instrument executed in writing by the parties.  The effective date of this Agreement is the date it is executed by Company.</w:t>
      </w:r>
    </w:p>
    <w:p>
      <w:pPr>
        <w:pStyle w:val="Normal"/>
        <w:keepLines/>
        <w:tabs>
          <w:tab w:val="clear" w:pos="720"/>
          <w:tab w:val="left" w:pos="1296" w:leader="none"/>
          <w:tab w:val="left" w:pos="1742" w:leader="none"/>
          <w:tab w:val="left" w:pos="1987" w:leader="none"/>
          <w:tab w:val="left" w:pos="2232" w:leader="none"/>
          <w:tab w:val="left" w:pos="2966" w:leader="none"/>
        </w:tabs>
        <w:jc w:val="both"/>
        <w:rPr/>
      </w:pPr>
      <w:r>
        <w:rPr/>
      </w:r>
    </w:p>
    <w:p>
      <w:pPr>
        <w:pStyle w:val="Normal"/>
        <w:keepLines/>
        <w:spacing w:lineRule="exact" w:line="120"/>
        <w:rPr/>
      </w:pPr>
      <w:r>
        <w:rPr/>
      </w:r>
    </w:p>
    <w:p>
      <w:pPr>
        <w:pStyle w:val="Normal"/>
        <w:keepLines/>
        <w:tabs>
          <w:tab w:val="clear" w:pos="720"/>
          <w:tab w:val="left" w:pos="1296" w:leader="none"/>
          <w:tab w:val="left" w:pos="1742" w:leader="none"/>
          <w:tab w:val="left" w:pos="1987" w:leader="none"/>
          <w:tab w:val="left" w:pos="2232" w:leader="none"/>
          <w:tab w:val="left" w:pos="2966" w:leader="none"/>
        </w:tabs>
        <w:rPr/>
      </w:pPr>
      <w:r>
        <w:rPr/>
        <w:t>CONSULTANT</w:t>
        <w:tab/>
        <w:tab/>
        <w:tab/>
        <w:tab/>
        <w:tab/>
        <w:tab/>
        <w:tab/>
        <w:t>COMPANY</w:t>
      </w:r>
    </w:p>
    <w:p>
      <w:pPr>
        <w:pStyle w:val="Normal"/>
        <w:keepLines/>
        <w:tabs>
          <w:tab w:val="clear" w:pos="720"/>
          <w:tab w:val="left" w:pos="1296" w:leader="none"/>
          <w:tab w:val="left" w:pos="1742" w:leader="none"/>
          <w:tab w:val="left" w:pos="1987" w:leader="none"/>
          <w:tab w:val="left" w:pos="2232" w:leader="none"/>
          <w:tab w:val="left" w:pos="2966" w:leader="none"/>
        </w:tabs>
        <w:rPr>
          <w:u w:val="single"/>
        </w:rPr>
      </w:pPr>
      <w:r>
        <w:rPr>
          <w:u w:val="single"/>
        </w:rPr>
      </w:r>
    </w:p>
    <w:p>
      <w:pPr>
        <w:pStyle w:val="Normal"/>
        <w:keepLines/>
        <w:tabs>
          <w:tab w:val="clear" w:pos="720"/>
          <w:tab w:val="left" w:pos="1296" w:leader="none"/>
          <w:tab w:val="left" w:pos="1742" w:leader="none"/>
          <w:tab w:val="left" w:pos="1987" w:leader="none"/>
          <w:tab w:val="left" w:pos="2232" w:leader="none"/>
          <w:tab w:val="left" w:pos="2966" w:leader="none"/>
          <w:tab w:val="left" w:pos="3960" w:leader="none"/>
        </w:tabs>
        <w:rPr/>
      </w:pPr>
      <w:r>
        <w:rPr>
          <w:u w:val="single"/>
        </w:rPr>
        <w:tab/>
        <w:tab/>
        <w:tab/>
        <w:tab/>
        <w:tab/>
        <w:tab/>
      </w:r>
      <w:r>
        <w:rPr/>
        <w:tab/>
        <w:tab/>
        <w:t>Enron Broadband Services, Inc.</w:t>
      </w:r>
    </w:p>
    <w:p>
      <w:pPr>
        <w:pStyle w:val="Normal"/>
        <w:keepLines/>
        <w:tabs>
          <w:tab w:val="clear" w:pos="720"/>
          <w:tab w:val="right" w:pos="4440" w:leader="none"/>
        </w:tabs>
        <w:rPr/>
      </w:pPr>
      <w:r>
        <w:rPr/>
      </w:r>
    </w:p>
    <w:p>
      <w:pPr>
        <w:pStyle w:val="Normal"/>
        <w:keepLines/>
        <w:tabs>
          <w:tab w:val="clear" w:pos="720"/>
          <w:tab w:val="right" w:pos="3960" w:leader="none"/>
        </w:tabs>
        <w:rPr/>
      </w:pPr>
      <w:r>
        <w:rPr/>
        <w:t xml:space="preserve">By </w:t>
      </w:r>
      <w:r>
        <w:rPr>
          <w:u w:val="single"/>
        </w:rPr>
        <w:tab/>
      </w:r>
      <w:r>
        <w:rPr/>
        <w:tab/>
        <w:tab/>
        <w:t xml:space="preserve">By </w:t>
      </w:r>
      <w:r>
        <w:rPr>
          <w:u w:val="single"/>
        </w:rPr>
        <w:tab/>
        <w:tab/>
        <w:tab/>
        <w:tab/>
        <w:tab/>
      </w:r>
    </w:p>
    <w:p>
      <w:pPr>
        <w:pStyle w:val="Normal"/>
        <w:keepLines/>
        <w:tabs>
          <w:tab w:val="clear" w:pos="720"/>
          <w:tab w:val="left" w:pos="1296" w:leader="none"/>
          <w:tab w:val="left" w:pos="1742" w:leader="none"/>
          <w:tab w:val="left" w:pos="1987" w:leader="none"/>
          <w:tab w:val="left" w:pos="2232" w:leader="none"/>
          <w:tab w:val="left" w:pos="2966" w:leader="none"/>
        </w:tabs>
        <w:rPr/>
      </w:pPr>
      <w:r>
        <w:rPr/>
      </w:r>
    </w:p>
    <w:p>
      <w:pPr>
        <w:pStyle w:val="Normal"/>
        <w:keepLines/>
        <w:tabs>
          <w:tab w:val="clear" w:pos="720"/>
          <w:tab w:val="right" w:pos="3960" w:leader="none"/>
          <w:tab w:val="left" w:pos="5040" w:leader="none"/>
          <w:tab w:val="center" w:pos="7026" w:leader="none"/>
        </w:tabs>
        <w:rPr/>
      </w:pPr>
      <w:r>
        <w:rPr/>
        <w:t xml:space="preserve">Name </w:t>
      </w:r>
      <w:r>
        <w:rPr>
          <w:u w:val="single"/>
        </w:rPr>
        <w:tab/>
      </w:r>
      <w:r>
        <w:rPr/>
        <w:tab/>
        <w:t xml:space="preserve">Name </w:t>
      </w:r>
      <w:r>
        <w:rPr>
          <w:u w:val="single"/>
        </w:rPr>
        <w:tab/>
        <w:tab/>
        <w:tab/>
        <w:tab/>
      </w:r>
    </w:p>
    <w:p>
      <w:pPr>
        <w:pStyle w:val="Normal"/>
        <w:keepLines/>
        <w:tabs>
          <w:tab w:val="clear" w:pos="720"/>
          <w:tab w:val="center" w:pos="2456" w:leader="none"/>
          <w:tab w:val="left" w:pos="5040" w:leader="none"/>
          <w:tab w:val="center" w:pos="7026" w:leader="none"/>
        </w:tabs>
        <w:rPr/>
      </w:pPr>
      <w:r>
        <w:rPr/>
        <w:tab/>
        <w:t>(Type or Print)</w:t>
        <w:tab/>
        <w:tab/>
        <w:t>(Type or Print)</w:t>
      </w:r>
    </w:p>
    <w:p>
      <w:pPr>
        <w:pStyle w:val="Normal"/>
        <w:keepLines/>
        <w:tabs>
          <w:tab w:val="clear" w:pos="720"/>
          <w:tab w:val="center" w:pos="2456" w:leader="none"/>
          <w:tab w:val="center" w:pos="7026" w:leader="none"/>
        </w:tabs>
        <w:rPr/>
      </w:pPr>
      <w:r>
        <w:rPr/>
      </w:r>
    </w:p>
    <w:p>
      <w:pPr>
        <w:pStyle w:val="Normal"/>
        <w:keepLines/>
        <w:tabs>
          <w:tab w:val="clear" w:pos="720"/>
          <w:tab w:val="right" w:pos="3960" w:leader="none"/>
          <w:tab w:val="left" w:pos="5040" w:leader="none"/>
          <w:tab w:val="center" w:pos="7026" w:leader="none"/>
        </w:tabs>
        <w:rPr/>
      </w:pPr>
      <w:r>
        <w:rPr/>
        <w:t xml:space="preserve">Title </w:t>
      </w:r>
      <w:r>
        <w:rPr>
          <w:u w:val="single"/>
        </w:rPr>
        <w:tab/>
      </w:r>
      <w:r>
        <w:rPr/>
        <w:tab/>
        <w:t xml:space="preserve">Title </w:t>
      </w:r>
      <w:r>
        <w:rPr>
          <w:u w:val="single"/>
        </w:rPr>
        <w:tab/>
        <w:tab/>
        <w:tab/>
        <w:tab/>
      </w:r>
    </w:p>
    <w:p>
      <w:pPr>
        <w:pStyle w:val="Normal"/>
        <w:keepLines/>
        <w:tabs>
          <w:tab w:val="clear" w:pos="720"/>
          <w:tab w:val="center" w:pos="2456" w:leader="none"/>
          <w:tab w:val="center" w:pos="7026" w:leader="none"/>
        </w:tabs>
        <w:rPr/>
      </w:pPr>
      <w:r>
        <w:rPr/>
      </w:r>
    </w:p>
    <w:p>
      <w:pPr>
        <w:pStyle w:val="Normal"/>
        <w:keepLines/>
        <w:tabs>
          <w:tab w:val="clear" w:pos="720"/>
          <w:tab w:val="right" w:pos="3960" w:leader="none"/>
          <w:tab w:val="left" w:pos="5040" w:leader="none"/>
          <w:tab w:val="center" w:pos="7026" w:leader="none"/>
        </w:tabs>
        <w:rPr/>
      </w:pPr>
      <w:r>
        <w:rPr>
          <w:u w:val="single"/>
        </w:rPr>
        <w:tab/>
      </w:r>
      <w:r>
        <w:rPr/>
        <w:t>, 20___</w:t>
        <w:tab/>
      </w:r>
      <w:r>
        <w:rPr>
          <w:u w:val="single"/>
        </w:rPr>
        <w:tab/>
        <w:tab/>
        <w:tab/>
      </w:r>
      <w:r>
        <w:rPr/>
        <w:t>, 20</w:t>
      </w:r>
      <w:r>
        <w:rPr>
          <w:u w:val="single"/>
        </w:rPr>
        <w:tab/>
      </w:r>
    </w:p>
    <w:p>
      <w:pPr>
        <w:pStyle w:val="Normal"/>
        <w:keepLines/>
        <w:tabs>
          <w:tab w:val="clear" w:pos="720"/>
          <w:tab w:val="center" w:pos="2130" w:leader="none"/>
          <w:tab w:val="center" w:pos="5040" w:leader="none"/>
        </w:tabs>
        <w:rPr/>
      </w:pPr>
      <w:r>
        <w:rPr/>
        <w:tab/>
        <w:t>Date Executed</w:t>
        <w:tab/>
        <w:tab/>
        <w:t>Date Executed</w:t>
      </w:r>
    </w:p>
    <w:p>
      <w:pPr>
        <w:pStyle w:val="Normal"/>
        <w:keepLines/>
        <w:tabs>
          <w:tab w:val="clear" w:pos="720"/>
          <w:tab w:val="center" w:pos="2130" w:leader="none"/>
          <w:tab w:val="center" w:pos="5040" w:leader="none"/>
        </w:tabs>
        <w:rPr/>
      </w:pPr>
      <w:r>
        <w:rPr/>
      </w:r>
    </w:p>
    <w:p>
      <w:pPr>
        <w:pStyle w:val="Normal"/>
        <w:keepLines/>
        <w:tabs>
          <w:tab w:val="clear" w:pos="720"/>
          <w:tab w:val="right" w:pos="4440" w:leader="none"/>
          <w:tab w:val="left" w:pos="5040" w:leader="none"/>
          <w:tab w:val="center" w:pos="7026" w:leader="none"/>
        </w:tabs>
        <w:rPr/>
      </w:pPr>
      <w:r>
        <w:rPr/>
      </w:r>
    </w:p>
    <w:p>
      <w:pPr>
        <w:pStyle w:val="Normal"/>
        <w:keepLines/>
        <w:tabs>
          <w:tab w:val="clear" w:pos="720"/>
          <w:tab w:val="center" w:pos="2130" w:leader="none"/>
          <w:tab w:val="center" w:pos="7026" w:leader="none"/>
        </w:tabs>
        <w:rPr/>
      </w:pPr>
      <w:r>
        <w:rPr/>
      </w:r>
    </w:p>
    <w:p>
      <w:pPr>
        <w:pStyle w:val="Normal"/>
        <w:keepLines/>
        <w:tabs>
          <w:tab w:val="clear" w:pos="720"/>
          <w:tab w:val="center" w:pos="1966" w:leader="none"/>
          <w:tab w:val="left" w:pos="3960" w:leader="none"/>
          <w:tab w:val="left" w:pos="5040" w:leader="none"/>
          <w:tab w:val="center" w:pos="6760" w:leader="none"/>
        </w:tabs>
        <w:rPr/>
      </w:pPr>
      <w:r>
        <w:rPr/>
        <w:t>CONSULTANT ADDRESS:</w:t>
        <w:tab/>
        <w:tab/>
        <w:t>COMPANY ADDRESS:</w:t>
      </w:r>
    </w:p>
    <w:p>
      <w:pPr>
        <w:pStyle w:val="Normal"/>
        <w:keepLines/>
        <w:tabs>
          <w:tab w:val="clear" w:pos="720"/>
          <w:tab w:val="center" w:pos="1966" w:leader="none"/>
          <w:tab w:val="center" w:pos="6760" w:leader="none"/>
        </w:tabs>
        <w:jc w:val="both"/>
        <w:rPr/>
      </w:pPr>
      <w:r>
        <w:rPr/>
      </w:r>
    </w:p>
    <w:p>
      <w:pPr>
        <w:pStyle w:val="Normal"/>
        <w:keepLines/>
        <w:tabs>
          <w:tab w:val="clear" w:pos="720"/>
          <w:tab w:val="center" w:pos="1966" w:leader="none"/>
          <w:tab w:val="left" w:pos="3960" w:leader="none"/>
          <w:tab w:val="left" w:pos="5040" w:leader="none"/>
          <w:tab w:val="center" w:pos="6760" w:leader="none"/>
        </w:tabs>
        <w:jc w:val="both"/>
        <w:rPr/>
      </w:pPr>
      <w:r>
        <w:rPr>
          <w:u w:val="single"/>
        </w:rPr>
        <w:tab/>
        <w:tab/>
      </w:r>
      <w:r>
        <w:rPr/>
        <w:tab/>
        <w:t>Enron Broadband Services, Inc.</w:t>
      </w:r>
    </w:p>
    <w:p>
      <w:pPr>
        <w:pStyle w:val="Normal"/>
        <w:keepLines/>
        <w:tabs>
          <w:tab w:val="clear" w:pos="720"/>
          <w:tab w:val="center" w:pos="1966" w:leader="none"/>
          <w:tab w:val="left" w:pos="3960" w:leader="none"/>
          <w:tab w:val="left" w:pos="5040" w:leader="none"/>
          <w:tab w:val="center" w:pos="6760" w:leader="none"/>
        </w:tabs>
        <w:jc w:val="both"/>
        <w:rPr/>
      </w:pPr>
      <w:r>
        <w:rPr/>
      </w:r>
    </w:p>
    <w:p>
      <w:pPr>
        <w:pStyle w:val="Normal"/>
        <w:keepLines/>
        <w:tabs>
          <w:tab w:val="clear" w:pos="720"/>
          <w:tab w:val="center" w:pos="1966" w:leader="none"/>
          <w:tab w:val="left" w:pos="3960" w:leader="none"/>
          <w:tab w:val="left" w:pos="5040" w:leader="none"/>
          <w:tab w:val="center" w:pos="6760" w:leader="none"/>
        </w:tabs>
        <w:jc w:val="both"/>
        <w:rPr/>
      </w:pPr>
      <w:r>
        <w:rPr>
          <w:u w:val="single"/>
        </w:rPr>
        <w:tab/>
        <w:tab/>
      </w:r>
      <w:r>
        <w:rPr/>
        <w:tab/>
        <w:t>2100 SW River Parkway, Suite 800</w:t>
      </w:r>
    </w:p>
    <w:p>
      <w:pPr>
        <w:pStyle w:val="Normal"/>
        <w:keepLines/>
        <w:tabs>
          <w:tab w:val="clear" w:pos="720"/>
          <w:tab w:val="center" w:pos="1966" w:leader="none"/>
          <w:tab w:val="left" w:pos="3960" w:leader="none"/>
          <w:tab w:val="left" w:pos="5040" w:leader="none"/>
          <w:tab w:val="center" w:pos="6760" w:leader="none"/>
        </w:tabs>
        <w:jc w:val="both"/>
        <w:rPr/>
      </w:pPr>
      <w:r>
        <w:rPr/>
      </w:r>
    </w:p>
    <w:p>
      <w:pPr>
        <w:pStyle w:val="Normal"/>
        <w:keepLines/>
        <w:tabs>
          <w:tab w:val="clear" w:pos="720"/>
          <w:tab w:val="center" w:pos="1966" w:leader="none"/>
          <w:tab w:val="left" w:pos="3960" w:leader="none"/>
          <w:tab w:val="left" w:pos="5040" w:leader="none"/>
          <w:tab w:val="center" w:pos="6760" w:leader="none"/>
        </w:tabs>
        <w:jc w:val="both"/>
        <w:rPr/>
      </w:pPr>
      <w:r>
        <w:rPr>
          <w:u w:val="single"/>
        </w:rPr>
        <w:tab/>
        <w:tab/>
      </w:r>
      <w:r>
        <w:rPr/>
        <w:tab/>
        <w:t>Portland, OR 97201</w:t>
      </w:r>
    </w:p>
    <w:p>
      <w:pPr>
        <w:pStyle w:val="Normal"/>
        <w:keepLines/>
        <w:tabs>
          <w:tab w:val="clear" w:pos="720"/>
          <w:tab w:val="center" w:pos="1966" w:leader="none"/>
          <w:tab w:val="left" w:pos="3960" w:leader="none"/>
          <w:tab w:val="left" w:pos="5040" w:leader="none"/>
          <w:tab w:val="center" w:pos="6760" w:leader="none"/>
        </w:tabs>
        <w:jc w:val="both"/>
        <w:rPr/>
      </w:pPr>
      <w:r>
        <w:rPr/>
      </w:r>
    </w:p>
    <w:p>
      <w:pPr>
        <w:pStyle w:val="Normal"/>
        <w:keepLines/>
        <w:tabs>
          <w:tab w:val="clear" w:pos="720"/>
          <w:tab w:val="center" w:pos="1966" w:leader="none"/>
          <w:tab w:val="left" w:pos="3960" w:leader="none"/>
          <w:tab w:val="left" w:pos="5040" w:leader="none"/>
          <w:tab w:val="center" w:pos="6760" w:leader="none"/>
        </w:tabs>
        <w:jc w:val="both"/>
        <w:rPr/>
      </w:pPr>
      <w:r>
        <w:rPr>
          <w:u w:val="single"/>
        </w:rPr>
        <w:tab/>
        <w:tab/>
      </w:r>
      <w:r>
        <w:rPr/>
        <w:tab/>
        <w:t>Attention: Contract Administration</w:t>
      </w:r>
      <w:r>
        <w:br w:type="page"/>
      </w:r>
    </w:p>
    <w:p>
      <w:pPr>
        <w:pStyle w:val="Normal"/>
        <w:widowControl w:val="false"/>
        <w:tabs>
          <w:tab w:val="clear" w:pos="720"/>
          <w:tab w:val="center" w:pos="5400" w:leader="none"/>
        </w:tabs>
        <w:suppressAutoHyphens w:val="true"/>
        <w:spacing w:lineRule="auto" w:line="209"/>
        <w:jc w:val="center"/>
        <w:rPr/>
      </w:pPr>
      <w:r>
        <w:rPr>
          <w:sz w:val="22"/>
        </w:rPr>
        <w:t>Attachment B</w:t>
      </w:r>
      <w:r>
        <w:rPr>
          <w:spacing w:val="-2"/>
          <w:sz w:val="22"/>
        </w:rPr>
        <w:t xml:space="preserve"> </w:t>
      </w:r>
    </w:p>
    <w:p>
      <w:pPr>
        <w:pStyle w:val="Normal"/>
        <w:widowControl w:val="false"/>
        <w:tabs>
          <w:tab w:val="clear" w:pos="720"/>
          <w:tab w:val="center" w:pos="5400" w:leader="none"/>
        </w:tabs>
        <w:suppressAutoHyphens w:val="true"/>
        <w:spacing w:lineRule="auto" w:line="209"/>
        <w:jc w:val="center"/>
        <w:rPr>
          <w:spacing w:val="-2"/>
          <w:sz w:val="22"/>
        </w:rPr>
      </w:pPr>
      <w:r>
        <w:rPr>
          <w:spacing w:val="-2"/>
          <w:sz w:val="22"/>
        </w:rPr>
        <w:t>Affidavit and Release Of Lien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spacing w:val="-2"/>
          <w:sz w:val="22"/>
        </w:rPr>
        <w:tab/>
      </w:r>
      <w:r>
        <w:rPr>
          <w:spacing w:val="-2"/>
          <w:sz w:val="22"/>
          <w:u w:val="single"/>
        </w:rPr>
        <w:t xml:space="preserve">                                </w:t>
      </w:r>
      <w:r>
        <w:rPr>
          <w:spacing w:val="-2"/>
          <w:sz w:val="22"/>
        </w:rPr>
        <w:t xml:space="preserve"> hereby acknowledges the receipt and sufficiency of the sum of $</w:t>
      </w:r>
      <w:r>
        <w:rPr>
          <w:spacing w:val="-2"/>
          <w:sz w:val="22"/>
          <w:u w:val="single"/>
        </w:rPr>
        <w:t xml:space="preserve">             </w:t>
      </w:r>
      <w:r>
        <w:rPr>
          <w:spacing w:val="-2"/>
          <w:sz w:val="22"/>
        </w:rPr>
        <w:t>, (</w:t>
      </w:r>
      <w:r>
        <w:rPr>
          <w:spacing w:val="-2"/>
          <w:sz w:val="22"/>
          <w:u w:val="single"/>
        </w:rPr>
        <w:t xml:space="preserve">                    </w:t>
      </w:r>
      <w:r>
        <w:rPr>
          <w:spacing w:val="-2"/>
          <w:sz w:val="22"/>
        </w:rPr>
        <w:t xml:space="preserve">), and other good and valuable consideration, in full payment for furnishing </w:t>
      </w:r>
      <w:r>
        <w:rPr>
          <w:spacing w:val="-2"/>
          <w:sz w:val="22"/>
          <w:u w:val="single"/>
        </w:rPr>
        <w:t xml:space="preserve">                  </w:t>
      </w:r>
      <w:r>
        <w:rPr>
          <w:spacing w:val="-2"/>
          <w:sz w:val="22"/>
        </w:rPr>
        <w:t xml:space="preserve">, including all labor, materials and services, for improvements known as </w:t>
      </w:r>
      <w:r>
        <w:rPr>
          <w:spacing w:val="-2"/>
          <w:sz w:val="22"/>
          <w:u w:val="single"/>
        </w:rPr>
        <w:t xml:space="preserve">                           </w:t>
      </w:r>
      <w:r>
        <w:rPr>
          <w:spacing w:val="-2"/>
          <w:sz w:val="22"/>
        </w:rPr>
        <w:t xml:space="preserve"> to the following described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spacing w:val="-2"/>
          <w:sz w:val="22"/>
        </w:rPr>
        <w:tab/>
      </w:r>
      <w:r>
        <w:rPr>
          <w:spacing w:val="-2"/>
          <w:sz w:val="22"/>
          <w:u w:val="single"/>
        </w:rPr>
        <w:t xml:space="preserve">                                    </w:t>
      </w:r>
      <w:r>
        <w:rPr>
          <w:spacing w:val="-2"/>
          <w:sz w:val="22"/>
        </w:rPr>
        <w:t xml:space="preserve"> hereby acknowledges and certifies that Enron Broadband Services, Inc. paid </w:t>
      </w:r>
      <w:r>
        <w:rPr>
          <w:spacing w:val="-2"/>
          <w:sz w:val="22"/>
          <w:u w:val="single"/>
        </w:rPr>
        <w:t xml:space="preserve">                                  </w:t>
      </w:r>
      <w:r>
        <w:rPr>
          <w:spacing w:val="-2"/>
          <w:sz w:val="22"/>
        </w:rPr>
        <w:t>all sums owing and that it has no further claims against Enron Broadband Services, Inc., or any subsidiary, affiliate or parent of Enron Broadband Services, Inc.</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spacing w:val="-2"/>
          <w:sz w:val="22"/>
        </w:rPr>
        <w:tab/>
        <w:t xml:space="preserve">In consideration for such full payment, </w:t>
      </w:r>
      <w:r>
        <w:rPr>
          <w:spacing w:val="-2"/>
          <w:sz w:val="22"/>
          <w:u w:val="single"/>
        </w:rPr>
        <w:t xml:space="preserve">                                  </w:t>
      </w:r>
      <w:r>
        <w:rPr>
          <w:spacing w:val="-2"/>
          <w:sz w:val="22"/>
        </w:rPr>
        <w:t xml:space="preserve">, on behalf of itself and its predecessors, employees, agents, officers, directors, shareholders, representatives, attorneys, successors, insurers and assigns, and on behalf of any other persons claiming by, through or under </w:t>
      </w:r>
      <w:r>
        <w:rPr>
          <w:spacing w:val="-2"/>
          <w:sz w:val="22"/>
          <w:u w:val="single"/>
        </w:rPr>
        <w:t xml:space="preserve">                                           </w:t>
      </w:r>
      <w:r>
        <w:rPr>
          <w:spacing w:val="-2"/>
          <w:sz w:val="22"/>
        </w:rPr>
        <w:t xml:space="preserve">, does hereby waive, release, and relinquish its rights to and discharge, release and acquit Enron Broadband Services, Inc.,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pacing w:val="-2"/>
          <w:sz w:val="22"/>
          <w:u w:val="single"/>
        </w:rPr>
        <w:t xml:space="preserve">                                                  </w:t>
      </w:r>
      <w:r>
        <w:rPr>
          <w:spacing w:val="-2"/>
          <w:sz w:val="22"/>
        </w:rPr>
        <w:t xml:space="preserve"> agrees to indemnify and hold harmless Enron Broadband Services, Inc., its subsidiaries, affiliates and parent and all other persons or entities released by </w:t>
      </w:r>
      <w:r>
        <w:rPr>
          <w:spacing w:val="-2"/>
          <w:sz w:val="22"/>
          <w:u w:val="single"/>
        </w:rPr>
        <w:t xml:space="preserve">                                    </w:t>
      </w:r>
      <w:r>
        <w:rPr>
          <w:spacing w:val="-2"/>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pacing w:val="-2"/>
          <w:sz w:val="22"/>
          <w:u w:val="single"/>
        </w:rPr>
        <w:t xml:space="preserve">                                    </w:t>
      </w:r>
      <w:r>
        <w:rPr>
          <w:spacing w:val="-2"/>
          <w:sz w:val="22"/>
        </w:rPr>
        <w:t xml:space="preserve"> and in connection with any claims made in connection with or relating to </w:t>
      </w:r>
      <w:r>
        <w:rPr>
          <w:spacing w:val="-2"/>
          <w:sz w:val="22"/>
          <w:u w:val="single"/>
        </w:rPr>
        <w:t xml:space="preserve">                                </w:t>
      </w:r>
      <w:r>
        <w:rPr>
          <w:spacing w:val="-2"/>
          <w:sz w:val="22"/>
        </w:rPr>
        <w:t xml:space="preserve"> provision of labor, materials and/or service on the above-referenced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t>EXECUTED this _________ day of ______________________, 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COMPANY:</w:t>
        <w:tab/>
      </w:r>
      <w:r>
        <w:rPr>
          <w:spacing w:val="-2"/>
          <w:sz w:val="22"/>
          <w:u w:val="single"/>
        </w:rPr>
        <w:t xml:space="preserve"> _________________ 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By:</w:t>
        <w:tab/>
        <w:tab/>
      </w:r>
      <w:r>
        <w:rPr>
          <w:spacing w:val="-2"/>
          <w:sz w:val="22"/>
          <w:u w:val="single"/>
        </w:rPr>
        <w:t xml:space="preserve"> ___________________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Name:</w:t>
        <w:tab/>
        <w:tab/>
      </w:r>
      <w:r>
        <w:rPr>
          <w:spacing w:val="-2"/>
          <w:sz w:val="22"/>
          <w:u w:val="single"/>
        </w:rPr>
        <w:t xml:space="preserve"> ___________________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ab/>
        <w:tab/>
        <w:tab/>
        <w:t>Print or Type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Title:</w:t>
        <w:tab/>
        <w:tab/>
      </w:r>
      <w:r>
        <w:rPr>
          <w:spacing w:val="-2"/>
          <w:sz w:val="22"/>
          <w:u w:val="single"/>
        </w:rPr>
        <w:t xml:space="preserve"> ___________________</w:t>
      </w:r>
      <w:r>
        <w:fldChar w:fldCharType="begin"/>
      </w:r>
      <w:r>
        <w:rPr>
          <w:sz w:val="22"/>
          <w:spacing w:val="-2"/>
          <w:u w:val="single"/>
        </w:rPr>
        <w:instrText xml:space="preserve">ADVANCE \X 468.0</w:instrText>
      </w:r>
      <w:r>
        <w:rPr>
          <w:spacing w:val="-2"/>
          <w:sz w:val="22"/>
          <w:u w:val="single"/>
        </w:rPr>
      </w:r>
      <w:r>
        <w:rPr>
          <w:sz w:val="22"/>
          <w:spacing w:val="-2"/>
          <w:u w:val="single"/>
        </w:rPr>
        <w:fldChar w:fldCharType="separate"/>
      </w:r>
      <w:r>
        <w:rPr>
          <w:spacing w:val="-2"/>
          <w:sz w:val="22"/>
          <w:u w:val="single"/>
        </w:rPr>
      </w:r>
      <w:r/>
      <w:r>
        <w:rPr>
          <w:sz w:val="22"/>
          <w:spacing w:val="-2"/>
          <w:u w:val="single"/>
        </w:rPr>
        <w:fldChar w:fldCharType="end"/>
      </w:r>
      <w:r>
        <w:rPr>
          <w:spacing w:val="-2"/>
          <w:sz w:val="2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sz w:val="22"/>
        </w:rPr>
        <w:tab/>
        <w:t xml:space="preserve">BEFORE ME, the undersigned Notary Public, on this day personally came and appeared </w:t>
      </w:r>
      <w:r>
        <w:rPr>
          <w:spacing w:val="-2"/>
          <w:sz w:val="22"/>
          <w:u w:val="single"/>
        </w:rPr>
        <w:t xml:space="preserve">                               </w:t>
      </w:r>
      <w:r>
        <w:rPr>
          <w:spacing w:val="-2"/>
          <w:sz w:val="22"/>
        </w:rPr>
        <w:t xml:space="preserve">known to me to be the individual whose name is subscribed to the foregoing AFFIDAVIT AND RELEASE OF LIEN and being duly sworn, did state and acknowledge on his oath that he is the </w:t>
      </w:r>
      <w:r>
        <w:rPr>
          <w:spacing w:val="-2"/>
          <w:sz w:val="22"/>
          <w:u w:val="single"/>
        </w:rPr>
        <w:t xml:space="preserve">                         </w:t>
      </w:r>
      <w:r>
        <w:rPr>
          <w:spacing w:val="-2"/>
          <w:sz w:val="22"/>
        </w:rPr>
        <w:t xml:space="preserve"> of </w:t>
      </w:r>
      <w:r>
        <w:rPr>
          <w:spacing w:val="-2"/>
          <w:sz w:val="22"/>
          <w:u w:val="single"/>
        </w:rPr>
        <w:t xml:space="preserve">                                           </w:t>
      </w:r>
      <w:r>
        <w:rPr>
          <w:spacing w:val="-2"/>
          <w:sz w:val="22"/>
        </w:rPr>
        <w:t xml:space="preserve">, is authorized to execute and deliver the foregoing on behalf of </w:t>
      </w:r>
      <w:r>
        <w:rPr>
          <w:spacing w:val="-2"/>
          <w:sz w:val="22"/>
          <w:u w:val="single"/>
        </w:rPr>
        <w:t xml:space="preserve">                                            </w:t>
      </w:r>
      <w:r>
        <w:rPr>
          <w:spacing w:val="-2"/>
          <w:sz w:val="22"/>
        </w:rPr>
        <w:t xml:space="preserve"> as an act and deed of that entity for the purposes and consideration therein expressed.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GIVEN UNDER MY HAND AND SEAL OF OFFICE this _____ day of _______________, 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r>
      <w:r>
        <w:rPr>
          <w:spacing w:val="-2"/>
          <w:sz w:val="22"/>
          <w:u w:val="single"/>
        </w:rPr>
        <w:t xml:space="preserve">   _________________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 xml:space="preserve">the State of </w:t>
      </w:r>
      <w:r>
        <w:rPr>
          <w:spacing w:val="-2"/>
          <w:sz w:val="22"/>
          <w:u w:val="single"/>
        </w:rPr>
        <w:t xml:space="preserve">             ___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(SEAL)</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2"/>
        </w:rPr>
      </w:pPr>
      <w:r>
        <w:rPr>
          <w:spacing w:val="-2"/>
          <w:sz w:val="22"/>
        </w:rPr>
        <w:tab/>
        <w:tab/>
        <w:tab/>
        <w:tab/>
        <w:tab/>
        <w:tab/>
        <w:t>My Commission Expires: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sz w:val="22"/>
        </w:rPr>
        <w:tab/>
        <w:tab/>
        <w:tab/>
        <w:tab/>
        <w:tab/>
        <w:tab/>
      </w:r>
      <w:r>
        <w:rPr>
          <w:spacing w:val="-2"/>
          <w:sz w:val="22"/>
          <w:u w:val="single"/>
        </w:rPr>
        <w:t xml:space="preserve">   ___________________</w:t>
      </w:r>
    </w:p>
    <w:sectPr>
      <w:type w:val="continuous"/>
      <w:pgSz w:w="12240" w:h="15840"/>
      <w:pgMar w:left="1080" w:right="1080" w:gutter="0" w:header="0" w:top="1080" w:footer="475"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P MathA">
    <w:altName w:val="Symbol"/>
    <w:charset w:val="02"/>
    <w:family w:val="auto"/>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b/>
        <w:sz w:val="20"/>
      </w:rPr>
      <w:t xml:space="preserve">PROFESSIONAL SERVICES </w:t>
    </w:r>
    <w:r>
      <w:rPr>
        <w:sz w:val="20"/>
      </w:rPr>
      <w:t>AGREEMENT</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124460</wp:posOffset>
              </wp:positionV>
              <wp:extent cx="5943600" cy="113030"/>
              <wp:effectExtent l="0" t="0" r="0" b="0"/>
              <wp:wrapTopAndBottom/>
              <wp:docPr id="1" name="Frame1"/>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clear" w:pos="720"/>
                              <w:tab w:val="right" w:pos="9360" w:leader="none"/>
                            </w:tabs>
                            <w:jc w:val="end"/>
                            <w:rPr>
                              <w:sz w:val="16"/>
                            </w:rPr>
                          </w:pPr>
                          <w:r>
                            <w:rPr>
                              <w:sz w:val="16"/>
                            </w:rPr>
                            <w:t>rev. 4/11/00</w:t>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9.8pt;mso-position-vertical-relative:text;margin-left:0.05pt;mso-position-horizontal-relative:text">
              <v:fill opacity="0f"/>
              <v:textbox inset="0in,0in,0in,0in">
                <w:txbxContent>
                  <w:p>
                    <w:pPr>
                      <w:pStyle w:val="Normal"/>
                      <w:tabs>
                        <w:tab w:val="clear" w:pos="720"/>
                        <w:tab w:val="right" w:pos="9360" w:leader="none"/>
                      </w:tabs>
                      <w:jc w:val="end"/>
                      <w:rPr>
                        <w:sz w:val="16"/>
                      </w:rPr>
                    </w:pPr>
                    <w:r>
                      <w:rPr>
                        <w:sz w:val="16"/>
                      </w:rPr>
                      <w:t>rev. 4/11/00</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b/>
        <w:sz w:val="20"/>
      </w:rPr>
      <w:t xml:space="preserve">PAGE  </w:t>
    </w:r>
    <w:r>
      <w:rPr>
        <w:b/>
        <w:sz w:val="20"/>
      </w:rPr>
      <w:fldChar w:fldCharType="begin"/>
    </w:r>
    <w:r>
      <w:rPr>
        <w:sz w:val="20"/>
        <w:b/>
      </w:rPr>
      <w:instrText xml:space="preserve"> PAGE </w:instrText>
    </w:r>
    <w:r>
      <w:rPr>
        <w:sz w:val="20"/>
        <w:b/>
      </w:rPr>
      <w:fldChar w:fldCharType="separate"/>
    </w:r>
    <w:r>
      <w:rPr>
        <w:sz w:val="20"/>
        <w:b/>
      </w:rPr>
      <w:t>12</w:t>
    </w:r>
    <w:r>
      <w:rPr>
        <w:sz w:val="20"/>
        <w:b/>
      </w:rPr>
      <w:fldChar w:fldCharType="end"/>
    </w:r>
    <w:r>
      <w:rPr>
        <w:b/>
        <w:sz w:val="20"/>
      </w:rPr>
      <w:t xml:space="preserve"> - PROFESSIONAL SERVICES AGREEMENT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0"/>
    </w:pPr>
    <w:rPr>
      <w:rFonts w:ascii="Arial Narrow" w:hAnsi="Arial Narrow" w:cs="Arial Narrow"/>
      <w:b/>
      <w:spacing w:val="-2"/>
      <w:sz w:val="22"/>
      <w:u w:val="single"/>
    </w:rPr>
  </w:style>
  <w:style w:type="paragraph" w:styleId="Heading2">
    <w:name w:val="heading 2"/>
    <w:basedOn w:val="Normal"/>
    <w:next w:val="Normal"/>
    <w:qFormat/>
    <w:pPr>
      <w:keepNext w:val="true"/>
      <w:numPr>
        <w:ilvl w:val="1"/>
        <w:numId w:val="1"/>
      </w:numPr>
      <w:outlineLvl w:val="1"/>
    </w:pPr>
    <w:rPr>
      <w:b/>
      <w:sz w:val="20"/>
      <w:u w:val="single"/>
    </w:rPr>
  </w:style>
  <w:style w:type="paragraph" w:styleId="Heading3">
    <w:name w:val="heading 3"/>
    <w:basedOn w:val="Normal"/>
    <w:next w:val="Normal"/>
    <w:qFormat/>
    <w:pPr>
      <w:keepNext w:val="true"/>
      <w:numPr>
        <w:ilvl w:val="2"/>
        <w:numId w:val="1"/>
      </w:num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2"/>
    </w:pPr>
    <w:rPr>
      <w:rFonts w:ascii="Arial Narrow" w:hAnsi="Arial Narrow" w:cs="Arial Narrow"/>
      <w:b/>
      <w:spacing w:val="-2"/>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St1z0">
    <w:name w:val="WW8NumSt1z0"/>
    <w:qFormat/>
    <w:rPr>
      <w:rFonts w:ascii="WP MathA;Symbol" w:hAnsi="WP MathA;Symbol" w:cs="WP MathA;Symbol"/>
    </w:rPr>
  </w:style>
  <w:style w:type="character" w:styleId="WW8NumSt2z0">
    <w:name w:val="WW8NumSt2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Article">
    <w:name w:val="Article"/>
    <w:qFormat/>
    <w:rPr>
      <w:b/>
      <w:u w:val="single"/>
    </w:rPr>
  </w:style>
  <w:style w:type="paragraph" w:styleId="Heading">
    <w:name w:val="Heading"/>
    <w:basedOn w:val="Normal"/>
    <w:next w:val="BodyText"/>
    <w:qFormat/>
    <w:pPr>
      <w:tabs>
        <w:tab w:val="clear" w:pos="720"/>
        <w:tab w:val="decimal" w:pos="270" w:leader="none"/>
        <w:tab w:val="left" w:pos="540" w:leader="none"/>
      </w:tabs>
      <w:jc w:val="center"/>
    </w:pPr>
    <w:rPr>
      <w:b/>
    </w:rPr>
  </w:style>
  <w:style w:type="paragraph" w:styleId="BodyText">
    <w:name w:val="Body Text"/>
    <w:basedOn w:val="Normal"/>
    <w:pPr>
      <w:keepNext w:val="true"/>
      <w:keepLines/>
      <w:tabs>
        <w:tab w:val="clear" w:pos="720"/>
        <w:tab w:val="left" w:pos="0" w:leader="none"/>
        <w:tab w:val="left" w:pos="2946"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_"/>
    <w:basedOn w:val="Normal"/>
    <w:qFormat/>
    <w:pPr>
      <w:ind w:hanging="446" w:start="17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Lines/>
      <w:widowControl/>
      <w:tabs>
        <w:tab w:val="clear" w:pos="720"/>
        <w:tab w:val="left" w:pos="1296" w:leader="none"/>
        <w:tab w:val="left" w:pos="2946" w:leader="none"/>
      </w:tabs>
      <w:ind w:firstLine="1296" w:start="0" w:end="0"/>
      <w:jc w:val="both"/>
    </w:pPr>
    <w:rPr/>
  </w:style>
  <w:style w:type="paragraph" w:styleId="BodyTextIndent2">
    <w:name w:val="Body Text Indent 2"/>
    <w:basedOn w:val="Normal"/>
    <w:qFormat/>
    <w:pPr>
      <w:tabs>
        <w:tab w:val="clear" w:pos="720"/>
        <w:tab w:val="left" w:pos="1296" w:leader="none"/>
        <w:tab w:val="left" w:pos="1742" w:leader="none"/>
        <w:tab w:val="left" w:pos="1987" w:leader="none"/>
        <w:tab w:val="left" w:pos="2232" w:leader="none"/>
        <w:tab w:val="left" w:pos="2966" w:leader="none"/>
      </w:tabs>
      <w:ind w:hanging="0" w:start="1742" w:end="0"/>
      <w:jc w:val="both"/>
    </w:pPr>
    <w:rPr/>
  </w:style>
  <w:style w:type="paragraph" w:styleId="BodyTextIndent3">
    <w:name w:val="Body Text Indent 3"/>
    <w:basedOn w:val="Normal"/>
    <w:qFormat/>
    <w:pPr>
      <w:widowControl/>
      <w:tabs>
        <w:tab w:val="clear" w:pos="720"/>
        <w:tab w:val="left" w:pos="1296" w:leader="none"/>
        <w:tab w:val="left" w:pos="1742" w:leader="none"/>
        <w:tab w:val="left" w:pos="1987" w:leader="none"/>
        <w:tab w:val="left" w:pos="2232" w:leader="none"/>
        <w:tab w:val="left" w:pos="2966" w:leader="none"/>
      </w:tabs>
      <w:ind w:hanging="446" w:start="1742" w:end="0"/>
      <w:jc w:val="both"/>
    </w:pPr>
    <w:rPr/>
  </w:style>
  <w:style w:type="paragraph" w:styleId="DISCLAIMER">
    <w:name w:val="DISCLAIMER"/>
    <w:basedOn w:val="Normal"/>
    <w:qFormat/>
    <w:pPr>
      <w:keepNext w:val="true"/>
      <w:keepLines/>
      <w:suppressAutoHyphens w:val="true"/>
      <w:spacing w:lineRule="auto" w:line="360"/>
      <w:jc w:val="both"/>
    </w:pPr>
    <w:rPr>
      <w:rFonts w:ascii="Century Schoolbook" w:hAnsi="Century Schoolbook" w:cs="Century Schoolbook"/>
    </w:rPr>
  </w:style>
  <w:style w:type="paragraph" w:styleId="BodyText2">
    <w:name w:val="Body Text 2"/>
    <w:basedOn w:val="Normal"/>
    <w:qFormat/>
    <w:p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pPr>
    <w:rPr>
      <w:rFonts w:ascii="Arial Narrow" w:hAnsi="Arial Narrow" w:cs="Arial Narrow"/>
      <w:spacing w:val="-2"/>
      <w:sz w:val="18"/>
    </w:rPr>
  </w:style>
  <w:style w:type="paragraph" w:styleId="BodyText3">
    <w:name w:val="Body Text 3"/>
    <w:basedOn w:val="Normal"/>
    <w:qFormat/>
    <w:p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spacing w:val="-2"/>
      <w:sz w:val="20"/>
    </w:rPr>
  </w:style>
  <w:style w:type="paragraph" w:styleId="TOC1">
    <w:name w:val="toc 1"/>
    <w:basedOn w:val="Normal"/>
    <w:next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Services Agreement (with SFM changes 4-4).dot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2000-04-11T19:44:00Z</dcterms:created>
  <dc:creator>Annette L Coyle</dc:creator>
  <dc:description/>
  <dc:language>en-CA</dc:language>
  <cp:lastModifiedBy>gil_melman</cp:lastModifiedBy>
  <cp:lastPrinted>2000-03-13T08:22:00Z</cp:lastPrinted>
  <dcterms:modified xsi:type="dcterms:W3CDTF">2000-04-11T19:44:00Z</dcterms:modified>
  <cp:revision>2</cp:revision>
  <dc:subject/>
  <dc:title>ENRON COMMUNICATIONS, INC</dc:title>
</cp:coreProperties>
</file>