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Products</w:t>
      </w:r>
    </w:p>
    <w:p>
      <w:pPr>
        <w:pStyle w:val="Heading2"/>
        <w:ind w:hanging="0" w:start="0"/>
        <w:rPr/>
      </w:pPr>
      <w:r>
        <w:rPr/>
        <w:t>Physical Products</w:t>
      </w:r>
    </w:p>
    <w:p>
      <w:pPr>
        <w:pStyle w:val="Heading3"/>
        <w:ind w:hanging="0" w:start="0"/>
        <w:rPr/>
      </w:pPr>
      <w:r>
        <w:rPr/>
        <w:t>Dark fiber</w:t>
      </w:r>
    </w:p>
    <w:p>
      <w:pPr>
        <w:pStyle w:val="BodyText"/>
        <w:rPr/>
      </w:pPr>
      <w:r>
        <w:rPr/>
        <w:t>Trading in dark fiber</w:t>
      </w:r>
      <w:r>
        <w:rPr>
          <w:rStyle w:val="FootnoteCharacters"/>
          <w:rStyle w:val="FootnoteReference"/>
          <w:b/>
          <w:i/>
        </w:rPr>
        <w:footnoteReference w:id="2"/>
      </w:r>
      <w:r>
        <w:rPr/>
        <w:t xml:space="preserve"> is the most tangible way to buy and sell capacity.  Dark fiber sales and purchases are typically documented in the form of indefeasible rights of use contracts (“IRUs”).  In the context of a dark fiber purchase, the IRU grantee receives the right to use a specific fiber or fibers for a specified period of time, generally for fifteen to twenty years.  The IRU is commonly swapped for an IRU in other fiber(s) but is also often granted in exchange for monthly recurring payments or an upfront lump sum.  For an additional periodic fee, the IRU grantor may bundle basic maintenance services for the system with the granting of the IRU.  Also for an additional fee, the IRU grantor may offer collocation of customer equipment in its points of presence (PoP) sites</w:t>
      </w:r>
      <w:r>
        <w:rPr>
          <w:rStyle w:val="FootnoteCharacters"/>
          <w:rStyle w:val="FootnoteReference"/>
        </w:rPr>
        <w:footnoteReference w:id="3"/>
      </w:r>
      <w:r>
        <w:rPr/>
        <w:t xml:space="preserve"> or regeneration sites</w:t>
      </w:r>
      <w:r>
        <w:rPr>
          <w:rStyle w:val="FootnoteCharacters"/>
          <w:rStyle w:val="FootnoteReference"/>
        </w:rPr>
        <w:footnoteReference w:id="4"/>
      </w:r>
      <w:r>
        <w:rPr/>
        <w:t>.</w:t>
      </w:r>
    </w:p>
    <w:p>
      <w:pPr>
        <w:pStyle w:val="BodyText"/>
        <w:rPr/>
      </w:pPr>
      <w:r>
        <w:rPr/>
        <w:t>The dark fiber owner or IRU grantee may attach whatever voice, data, or video equipment it chooses to “light” the fibers and otherwise define the network architecture.  In the case of an IRU, the IRU grantee has unfettered control of the fiber and the equipment associated with the fiber for the term of the IRU.  In other words, the IRU grantee can define, and redefine, OSI network layer one (other than the fiber itself) through layer three according to its needs and budget constraints.</w:t>
      </w:r>
    </w:p>
    <w:p>
      <w:pPr>
        <w:pStyle w:val="Heading3"/>
        <w:ind w:hanging="0" w:start="0"/>
        <w:rPr/>
      </w:pPr>
      <w:r>
        <w:rPr/>
        <w:t>Raw Bandwidth—Wavelengths</w:t>
      </w:r>
    </w:p>
    <w:p>
      <w:pPr>
        <w:pStyle w:val="BodyText"/>
        <w:rPr/>
      </w:pPr>
      <w:r>
        <w:rPr/>
        <w:t>One step removed from the sale of dark fiber is the sale of “raw” bandwidth over fiber that is lit but not fully operational because no layer above the physical layer has been provisioned.  In this context, a facilities-based telecommunications carrier</w:t>
      </w:r>
      <w:r>
        <w:rPr>
          <w:rStyle w:val="FootnoteCharacters"/>
          <w:rStyle w:val="FootnoteReference"/>
        </w:rPr>
        <w:footnoteReference w:id="5"/>
      </w:r>
      <w:r>
        <w:rPr/>
        <w:t xml:space="preserve"> owns, installs and collocates the DWDM and regeneration equipment necessary to light the fiber and channelize it into wavelengths, but does not install SONET or other equipment necessary to transmit information over the network.  The carrier generally sells an exclusive right to use the wavelength on the same basis as it would sell an IRU in dark fiber, except that it does not unbundle the provision of collocation, and operations and maintenance services with respect to the DWDM and regeneration equipment. </w:t>
      </w:r>
    </w:p>
    <w:p>
      <w:pPr>
        <w:pStyle w:val="BodyText"/>
        <w:rPr/>
      </w:pPr>
      <w:r>
        <w:rPr/>
        <w:t>Like the dark fiber purchaser, the wavelength purchaser may attach whatever voice, data, or video equipment it chooses to define the network architecture.  Thus, the wavelength purchaser has the power to define and redefine layers two and three.  However, unlike the dark fiber purchaser, the wavelength purchaser may not redefine the capacity of the wavelength it purchased, because the wavelength seller retains ownership of the underlying fiber.  Thus, the wavelength seller could decide to install equipment that increases capacity and divides a fiber into additional wavelengths, which additional wavelengths would be solely for the wavelength seller to sell.  In contrast, the purchaser of dark fiber would be the one to decide whether the equipment should be installed, and would be entitled to sell the additional wavelengths resulting from the installation.</w:t>
      </w:r>
    </w:p>
    <w:p>
      <w:pPr>
        <w:pStyle w:val="BodyText"/>
        <w:rPr/>
      </w:pPr>
      <w:r>
        <w:rPr/>
        <w:t>A bandwidth trader normally acts as a dealer with respect to wavelengths as opposed to a producer like the facilities-based carrier referred to above.  Thus, for example, the trader may buy the exclusive right to a wavelength between a carrier’s New York PoP site and its London PoP site. The right may be legally documented in any number of forms (e.g., as an IRU, a Capacity Purchase Agreement, a Master Bandwidth Purchase and Sale Agreement) and may be purchased from any of a variety of sellers (e.g., carriers, end users with excess capacity, other dealers, retailers).  In turn, the bandwidth trader may divide or combine the right in a multitude of ways for resale to a variety of buyers (e.g., carriers, end users, other dealers, retailers).</w:t>
      </w:r>
    </w:p>
    <w:p>
      <w:pPr>
        <w:pStyle w:val="Heading3"/>
        <w:ind w:hanging="0" w:start="0"/>
        <w:rPr/>
      </w:pPr>
      <w:r>
        <w:rPr/>
        <w:t xml:space="preserve">Private Line Service </w:t>
      </w:r>
    </w:p>
    <w:p>
      <w:pPr>
        <w:pStyle w:val="BodyText"/>
        <w:rPr/>
      </w:pPr>
      <w:r>
        <w:rPr/>
        <w:t xml:space="preserve">Further along the bundling spectrum is private line service.  A private line is essentially a pair of circuits that are dedicated to the exclusive use of the private line purchaser.  As with raw bandwidth, </w:t>
      </w:r>
    </w:p>
    <w:p>
      <w:pPr>
        <w:pStyle w:val="ListBullet"/>
        <w:numPr>
          <w:ilvl w:val="0"/>
          <w:numId w:val="2"/>
        </w:numPr>
        <w:ind w:hanging="0" w:start="0"/>
        <w:rPr/>
      </w:pPr>
      <w:r>
        <w:rPr/>
        <w:t xml:space="preserve">The private line purchaser buys only a right to use circuits, </w:t>
      </w:r>
    </w:p>
    <w:p>
      <w:pPr>
        <w:pStyle w:val="ListBullet"/>
        <w:numPr>
          <w:ilvl w:val="0"/>
          <w:numId w:val="2"/>
        </w:numPr>
        <w:ind w:hanging="0" w:start="0"/>
        <w:rPr/>
      </w:pPr>
      <w:r>
        <w:rPr/>
        <w:t xml:space="preserve">The private line seller maintains an ongoing operations and maintenance responsibility for the circuits, and </w:t>
      </w:r>
    </w:p>
    <w:p>
      <w:pPr>
        <w:pStyle w:val="ListBullet"/>
        <w:numPr>
          <w:ilvl w:val="0"/>
          <w:numId w:val="2"/>
        </w:numPr>
        <w:ind w:hanging="0" w:start="0"/>
        <w:rPr/>
      </w:pPr>
      <w:r>
        <w:rPr/>
        <w:t xml:space="preserve">The circuits purchased are permanent (for the term of the private line) switch-less physical connections between two points.  </w:t>
      </w:r>
    </w:p>
    <w:p>
      <w:pPr>
        <w:pStyle w:val="Normal"/>
        <w:rPr/>
      </w:pPr>
      <w:r>
        <w:rPr/>
      </w:r>
    </w:p>
    <w:p>
      <w:pPr>
        <w:pStyle w:val="BodyText"/>
        <w:rPr/>
      </w:pPr>
      <w:r>
        <w:rPr/>
        <w:t>The essential difference between the purchase of a wavelength and the purchase of a private line is that the private line circuit is generally provisioned by the private line seller with equipment to protect the private line circuit from service interruptions that would otherwise result from a fiber cut or equipment failure along the path of the circuit (see Annex A, SONET).</w:t>
      </w:r>
    </w:p>
    <w:p>
      <w:pPr>
        <w:pStyle w:val="BodyText"/>
        <w:rPr/>
      </w:pPr>
      <w:r>
        <w:rPr/>
        <w:t>Major carriers have sold private line services for many years under many names (e.g., “fully-lit capacity,” “OC-x capacity,” and “Private Leased Circuit”).  The private line service product from a bandwidth trader differs from such traditional private line service as the trader acts as a dealer in, rather than a producer of, bandwidth.  Thus, the trader buys from a variety of sellers and may divide or combine the rights acquired (or not) in a multitude of ways, for resale to a variety of buyers.</w:t>
      </w:r>
    </w:p>
    <w:p>
      <w:pPr>
        <w:pStyle w:val="Heading3"/>
        <w:ind w:hanging="0" w:start="0"/>
        <w:rPr/>
      </w:pPr>
      <w:r>
        <w:rPr/>
        <w:t>IP Capacity</w:t>
      </w:r>
    </w:p>
    <w:p>
      <w:pPr>
        <w:pStyle w:val="BodyText"/>
        <w:rPr/>
      </w:pPr>
      <w:r>
        <w:rPr/>
        <w:t>IP capacity is somewhat less straightforward, mostly because of the nature of the Internet Protocol and partly because it is a newer concept.  Enron Broadband Services defines IP capacity as the right to utilize an IP routed network cloud, which may consist of one or more autonomous systems, to deliver packets to IP addresses that may or may not reside on the same network.</w:t>
      </w:r>
    </w:p>
    <w:p>
      <w:pPr>
        <w:pStyle w:val="BodyText"/>
        <w:rPr/>
      </w:pPr>
      <w:r>
        <w:rPr/>
        <w:t>IP capacity comes in two flavors, namely IP transport and IP transit.  IP transport is the right to use an IP routed network cloud, which consists of one autonomous system, to deliver packets on the same network.  IP transit is high-speed access to the public Internet cloud.  Aside from the fact that IP transit provides access to the World Wide Web, the essential difference between IP transport and IP transit is that the bandwidth trader can offer to guarantee quality of service (QOS) levels with IP transport capacity but not with IP transit.  The trader can guarantee QOS with IP transport because the customer’s data will traverse only network routes managed by the trader or managed by a third party that has guaranteed QOS levels to the trader on the same terms that the trader offers its customers.</w:t>
      </w:r>
    </w:p>
    <w:p>
      <w:pPr>
        <w:pStyle w:val="BodyText"/>
        <w:rPr/>
      </w:pPr>
      <w:r>
        <w:rPr/>
        <w:t xml:space="preserve">IP transit is often offered along with IP transport.  Even when it is sold along with IP transport, the IP transit service may not involve the trader’s network at all (i.e., may be conducted entirely off-net), or the trader’s network may serve as an intermediate network between the customer and the Internet.  </w:t>
      </w:r>
    </w:p>
    <w:p>
      <w:pPr>
        <w:pStyle w:val="BodyText"/>
        <w:rPr/>
      </w:pPr>
      <w:r>
        <w:rPr/>
        <w:t>The IP Transport product provides customers with data transportation service at a significantly lower price than comparable private line service.  In the past, enterprises have typically used networks comprised of numerous point-to-point private lines to transport voice and data traffic.  Compared with the public switched telephone network, such private dedicated networks have the advantages of quality, reliability and security.  The tremendous disadvantage of private networks is that they are quite expensive.  Although it performs the same functions as a private dedicated network, the IP Transport product is significantly cheaper than a private dedicated network because it transmits data using IP packets rather than dedicated circuits.</w:t>
      </w:r>
    </w:p>
    <w:p>
      <w:pPr>
        <w:pStyle w:val="Heading3"/>
        <w:ind w:hanging="0" w:start="0"/>
        <w:rPr/>
      </w:pPr>
      <w:r>
        <w:rPr/>
        <w:t>International Voice Minutes Trading</w:t>
      </w:r>
    </w:p>
    <w:p>
      <w:pPr>
        <w:pStyle w:val="BodyText"/>
        <w:rPr/>
      </w:pPr>
      <w:r>
        <w:rPr/>
        <w:t>Trading of International voice minutes involves inter-carrier trading of surplus voice minute capacity, usually via an on-line service.  This may be simply as a broker, or in Enron’s case as with all the other products, we are buying and selling voice minutes as a principal in the transaction.</w:t>
      </w:r>
    </w:p>
    <w:p>
      <w:pPr>
        <w:pStyle w:val="BodyText"/>
        <w:rPr/>
      </w:pPr>
      <w:r>
        <w:rPr/>
        <w:t>In practice, the voice minute trader establishes a Point Of Presence, typically just a small switch or router, through witch calls come and go on a circuit-switched basis.</w:t>
      </w:r>
    </w:p>
    <w:p>
      <w:pPr>
        <w:pStyle w:val="Heading2"/>
        <w:ind w:hanging="0" w:start="0"/>
        <w:rPr/>
      </w:pPr>
      <w:r>
        <w:rPr/>
        <w:t>Financial Products</w:t>
      </w:r>
    </w:p>
    <w:p>
      <w:pPr>
        <w:pStyle w:val="BodyText"/>
        <w:rPr>
          <w:lang w:eastAsia="ja-JP"/>
        </w:rPr>
      </w:pPr>
      <w:r>
        <w:rPr>
          <w:lang w:eastAsia="ja-JP"/>
        </w:rPr>
        <w:t>In addition to the physical trades described above, cash-settled derivatives transactions with bandwidth as the underlying commodity may be undertaken once financial indices for bandwidth develop.  Such transactions will include swaps, options, futures and forwards tied to a range of bandwidth prices or price indices.</w:t>
      </w:r>
      <w:r>
        <w:rPr/>
        <w:t xml:space="preserve">  Financial regulatory requirements will also influence the manner in which these financial products are traded.</w:t>
      </w:r>
    </w:p>
    <w:p>
      <w:pPr>
        <w:pStyle w:val="Heading3"/>
        <w:ind w:hanging="0" w:start="0"/>
        <w:rPr/>
      </w:pPr>
      <w:r>
        <w:rPr/>
        <w:t>Swaps</w:t>
      </w:r>
    </w:p>
    <w:p>
      <w:pPr>
        <w:pStyle w:val="BodyText"/>
        <w:rPr/>
      </w:pPr>
      <w:r>
        <w:rPr/>
        <w:t>Swap transactions are transactions executed between two or more parties to exchange different payment flows.  Such flows are most typically tied to obligations to pay fixed amounts of currency or interest at a specified rate.  One party to the swap might be obligated to make a fixed payment while the payment flow of the other party would be tied to the prices of bandwidth, reflected in one or more bandwidth trading indices.  These payment streams would be swapped under agreed terms and conditions designed to reduce the risk of bandwidth price fluctuation or to provide a means to speculate in bandwidth price fluctuation.</w:t>
      </w:r>
    </w:p>
    <w:p>
      <w:pPr>
        <w:pStyle w:val="Heading3"/>
        <w:ind w:hanging="0" w:start="0"/>
        <w:rPr/>
      </w:pPr>
      <w:r>
        <w:rPr/>
        <w:t>Options and Forwards</w:t>
      </w:r>
    </w:p>
    <w:p>
      <w:pPr>
        <w:pStyle w:val="BodyText"/>
        <w:rPr/>
      </w:pPr>
      <w:r>
        <w:rPr/>
        <w:t>Options and forwards are purely financial forward transactions (i.e., forward contracts where no physical delivery of the underlying bandwidth is expected).  Rather, such contracts are cash-settled, where one party will pay the other a monetary difference between the initial contract price and the price of the bandwidth on the notional delivery date(s).</w:t>
      </w:r>
    </w:p>
    <w:p>
      <w:pPr>
        <w:pStyle w:val="BodyText"/>
        <w:rPr/>
      </w:pPr>
      <w:r>
        <w:rPr/>
        <w:t>Option transactions refer generally to agreements to buy and sell a call option or a put option with respect to designated products. In the case of bandwidth, various types of bandwidth can be sold, at a pre-determined price on a fixed date or during a fixed period in the future, in exchange for an option payment or premium.  Cash settled options would normally be settled by payment of the difference between the option and market prices at exercise.</w:t>
      </w:r>
    </w:p>
    <w:p>
      <w:pPr>
        <w:pStyle w:val="Normal"/>
        <w:rPr/>
      </w:pPr>
      <w:r>
        <w:rPr/>
      </w:r>
    </w:p>
    <w:sectPr>
      <w:footnotePr>
        <w:numFmt w:val="decimal"/>
      </w:footnote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Style w:val="FootnoteCharacters"/>
        </w:rPr>
        <w:t xml:space="preserve"> </w:t>
      </w:r>
      <w:r>
        <w:rPr/>
        <w:t>“</w:t>
      </w:r>
      <w:r>
        <w:rPr/>
        <w:t>Dark” or “unlit” fiber is fiberoptic cable that has not been equipped with the electronic components necessary for telecommunications transmission.</w:t>
      </w:r>
    </w:p>
  </w:footnote>
  <w:footnote w:id="3">
    <w:p>
      <w:pPr>
        <w:pStyle w:val="FootnoteText"/>
        <w:rPr/>
      </w:pPr>
      <w:r>
        <w:rPr>
          <w:rStyle w:val="FootnoteCharacters"/>
        </w:rPr>
        <w:footnoteRef/>
      </w:r>
      <w:r>
        <w:rPr/>
        <w:t xml:space="preserve">  </w:t>
      </w:r>
      <w:r>
        <w:rPr/>
        <w:t>A PoP site</w:t>
      </w:r>
      <w:r>
        <w:rPr>
          <w:color w:val="000000"/>
        </w:rPr>
        <w:t xml:space="preserve"> is a physical place where a company has a presence (e.g., servers, routers, etc.) for network access.</w:t>
      </w:r>
    </w:p>
  </w:footnote>
  <w:footnote w:id="4">
    <w:p>
      <w:pPr>
        <w:pStyle w:val="FootnoteText"/>
        <w:rPr/>
      </w:pPr>
      <w:r>
        <w:rPr>
          <w:rStyle w:val="FootnoteCharacters"/>
        </w:rPr>
        <w:footnoteRef/>
      </w:r>
      <w:r>
        <w:rPr/>
        <w:t xml:space="preserve"> </w:t>
      </w:r>
      <w:r>
        <w:rPr/>
        <w:t>Regeneration sites are typically located every 50 to 100 kilometers along the fiber route.</w:t>
      </w:r>
    </w:p>
  </w:footnote>
  <w:footnote w:id="5">
    <w:p>
      <w:pPr>
        <w:pStyle w:val="FootnoteText"/>
        <w:rPr/>
      </w:pPr>
      <w:r>
        <w:rPr>
          <w:rStyle w:val="FootnoteCharacters"/>
        </w:rPr>
        <w:footnoteRef/>
      </w:r>
      <w:r>
        <w:rPr/>
        <w:t xml:space="preserve">  </w:t>
      </w:r>
      <w:r>
        <w:rPr/>
        <w:t>The term “facilities-based carrier” is commonly applied to telecommunications companies that actually own, operate and maintain data and voice transmission networks, as opposed to “services-based carriers” that act purely as dealers and retailers in bandwidth capacity.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b/>
      <w:i/>
      <w:sz w:val="28"/>
      <w:szCs w:val="20"/>
      <w:lang w:val="en-U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Cs w:val="26"/>
      <w:lang w:val="en-US"/>
    </w:rPr>
  </w:style>
  <w:style w:type="character" w:styleId="WW8Num1z0">
    <w:name w:val="WW8Num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8"/>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18"/>
      <w:szCs w:val="20"/>
      <w:lang w:val="en-US"/>
    </w:rPr>
  </w:style>
  <w:style w:type="paragraph" w:styleId="ListBullet">
    <w:name w:val="List Bullet"/>
    <w:basedOn w:val="Normal"/>
    <w:qFormat/>
    <w:pPr>
      <w:numPr>
        <w:ilvl w:val="0"/>
        <w:numId w:val="2"/>
      </w:numPr>
    </w:pPr>
    <w:rPr>
      <w:sz w:val="20"/>
      <w:lang w:val="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2001-07-31T23:59:00Z</dcterms:created>
  <dc:creator>MNunas</dc:creator>
  <dc:description/>
  <dc:language>en-CA</dc:language>
  <cp:lastModifiedBy>MNunas</cp:lastModifiedBy>
  <dcterms:modified xsi:type="dcterms:W3CDTF">2001-08-16T05:29:00Z</dcterms:modified>
  <cp:revision>3</cp:revision>
  <dc:subject/>
  <dc:title>Products</dc:title>
</cp:coreProperties>
</file>