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start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107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98"/>
        <w:gridCol w:w="5940"/>
        <w:gridCol w:w="1275"/>
        <w:gridCol w:w="2965"/>
      </w:tblGrid>
      <w:tr>
        <w:trPr>
          <w:trHeight w:val="300" w:hRule="atLeast"/>
        </w:trPr>
        <w:tc>
          <w:tcPr>
            <w:tcW w:w="898" w:type="dxa"/>
            <w:tcBorders/>
          </w:tcPr>
          <w:p>
            <w:pPr>
              <w:pStyle w:val="Normal"/>
              <w:ind w:start="-180" w:end="0"/>
              <w:jc w:val="end"/>
              <w:rPr>
                <w:sz w:val="22"/>
              </w:rPr>
            </w:pPr>
            <w:r>
              <w:rPr>
                <w:sz w:val="22"/>
              </w:rPr>
              <w:t>To:</w:t>
            </w:r>
          </w:p>
        </w:tc>
        <w:tc>
          <w:tcPr>
            <w:tcW w:w="5940" w:type="dxa"/>
            <w:tcBorders/>
          </w:tcPr>
          <w:p>
            <w:pPr>
              <w:pStyle w:val="To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Harry Arora, Bob Crane, Bruce Harris, Gary Hickerson,</w:t>
            </w:r>
          </w:p>
          <w:p>
            <w:pPr>
              <w:pStyle w:val="To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</w:rPr>
              <w:t>Joe Kishkill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napToGrid w:val="false"/>
              <w:ind w:start="-180" w:end="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16" w:hRule="exact"/>
        </w:trPr>
        <w:tc>
          <w:tcPr>
            <w:tcW w:w="89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94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00" w:hRule="exact"/>
        </w:trPr>
        <w:tc>
          <w:tcPr>
            <w:tcW w:w="898" w:type="dxa"/>
            <w:tcBorders/>
          </w:tcPr>
          <w:p>
            <w:pPr>
              <w:pStyle w:val="Normal"/>
              <w:ind w:start="-180" w:end="0"/>
              <w:jc w:val="end"/>
              <w:rPr>
                <w:sz w:val="22"/>
              </w:rPr>
            </w:pPr>
            <w:r>
              <w:rPr>
                <w:sz w:val="22"/>
              </w:rPr>
              <w:t>From:</w:t>
            </w:r>
          </w:p>
        </w:tc>
        <w:tc>
          <w:tcPr>
            <w:tcW w:w="5940" w:type="dxa"/>
            <w:tcBorders/>
          </w:tcPr>
          <w:p>
            <w:pPr>
              <w:pStyle w:val="From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Sara Shackleton</w:t>
            </w:r>
          </w:p>
        </w:tc>
        <w:tc>
          <w:tcPr>
            <w:tcW w:w="1275" w:type="dxa"/>
            <w:tcBorders/>
          </w:tcPr>
          <w:p>
            <w:pPr>
              <w:pStyle w:val="Normal"/>
              <w:ind w:start="-180" w:end="0"/>
              <w:jc w:val="end"/>
              <w:rPr>
                <w:sz w:val="22"/>
              </w:rPr>
            </w:pPr>
            <w:r>
              <w:rPr>
                <w:sz w:val="22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>
                <w:rFonts w:ascii="Times New Roman" w:hAnsi="Times New Roman" w:cs="Times New Roman"/>
                <w:sz w:val="22"/>
              </w:rPr>
            </w:pPr>
            <w:bookmarkStart w:id="0" w:name="From"/>
            <w:bookmarkEnd w:id="0"/>
            <w:r>
              <w:rPr>
                <w:rFonts w:cs="Times New Roman" w:ascii="Times New Roman" w:hAnsi="Times New Roman"/>
                <w:sz w:val="22"/>
              </w:rPr>
              <w:t>ENA Legal</w:t>
            </w:r>
          </w:p>
        </w:tc>
      </w:tr>
      <w:tr>
        <w:trPr>
          <w:trHeight w:val="216" w:hRule="exact"/>
        </w:trPr>
        <w:tc>
          <w:tcPr>
            <w:tcW w:w="89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</w:r>
          </w:p>
        </w:tc>
        <w:tc>
          <w:tcPr>
            <w:tcW w:w="594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00" w:hRule="exact"/>
        </w:trPr>
        <w:tc>
          <w:tcPr>
            <w:tcW w:w="89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22"/>
              </w:rPr>
            </w:pPr>
            <w:r>
              <w:rPr>
                <w:sz w:val="22"/>
              </w:rPr>
              <w:t>Subject:</w:t>
            </w:r>
          </w:p>
        </w:tc>
        <w:tc>
          <w:tcPr>
            <w:tcW w:w="5940" w:type="dxa"/>
            <w:tcBorders>
              <w:bottom w:val="single" w:sz="12" w:space="0" w:color="000000"/>
            </w:tcBorders>
          </w:tcPr>
          <w:p>
            <w:pPr>
              <w:pStyle w:val="Subject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Products for Trading in Brazil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22"/>
              </w:rPr>
            </w:pPr>
            <w:r>
              <w:rPr>
                <w:sz w:val="22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September 17, 1999</w:t>
            </w:r>
          </w:p>
        </w:tc>
      </w:tr>
    </w:tbl>
    <w:p>
      <w:pPr>
        <w:pStyle w:val="Department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  <w:bookmarkStart w:id="1" w:name="StartOfMemo"/>
      <w:bookmarkStart w:id="2" w:name="StartOfMemo"/>
      <w:bookmarkEnd w:id="2"/>
    </w:p>
    <w:p>
      <w:pPr>
        <w:pStyle w:val="Department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Please verify that I have identified all of the products that you are interested in trading.  I will be in São Paulo on Monday, September 20, 1999.</w:t>
      </w:r>
    </w:p>
    <w:p>
      <w:pPr>
        <w:pStyle w:val="Heading"/>
        <w:rPr>
          <w:rFonts w:ascii="Times New Roman" w:hAnsi="Times New Roman" w:cs="Times New Roman"/>
          <w:b/>
          <w:sz w:val="22"/>
        </w:rPr>
      </w:pPr>
      <w:r>
        <w:rPr>
          <w:rFonts w:cs="Times New Roman"/>
          <w:b/>
          <w:sz w:val="22"/>
        </w:rPr>
      </w:r>
    </w:p>
    <w:p>
      <w:pPr>
        <w:pStyle w:val="Heading"/>
        <w:rPr>
          <w:b/>
          <w:sz w:val="22"/>
        </w:rPr>
      </w:pPr>
      <w:r>
        <w:rPr>
          <w:b/>
          <w:sz w:val="22"/>
        </w:rPr>
        <w:t>PRODUCTS FOR TRADING IN BRAZIL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tbl>
      <w:tblPr>
        <w:tblW w:w="102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08"/>
        <w:gridCol w:w="270"/>
        <w:gridCol w:w="2250"/>
        <w:gridCol w:w="270"/>
        <w:gridCol w:w="5580"/>
      </w:tblGrid>
      <w:tr>
        <w:trPr/>
        <w:tc>
          <w:tcPr>
            <w:tcW w:w="1908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ENRON</w:t>
            </w:r>
          </w:p>
          <w:p>
            <w:pPr>
              <w:pStyle w:val="Heading1"/>
              <w:ind w:hanging="0" w:start="0"/>
              <w:rPr>
                <w:b/>
                <w:sz w:val="22"/>
              </w:rPr>
            </w:pPr>
            <w:r>
              <w:rPr>
                <w:b/>
                <w:sz w:val="22"/>
              </w:rPr>
              <w:t>GROUP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250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ENRON TRADING LOCATION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558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Heading2"/>
              <w:ind w:hanging="0" w:start="0"/>
              <w:rPr>
                <w:u w:val="none"/>
              </w:rPr>
            </w:pPr>
            <w:r>
              <w:rPr>
                <w:u w:val="none"/>
              </w:rPr>
              <w:t>PRODUCT</w:t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ENA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Bob Crane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OFFSHORE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OTC commodity swaps: paper/pulp/lumber</w:t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Gary Hickerson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ONSHORE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t>and/or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OFFSHORE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/>
            </w:pPr>
            <w:r>
              <w:rPr>
                <w:sz w:val="22"/>
              </w:rPr>
              <w:t xml:space="preserve">(1) </w:t>
            </w:r>
            <w:r>
              <w:rPr>
                <w:sz w:val="22"/>
                <w:u w:val="single"/>
              </w:rPr>
              <w:t>Exchange Traded Derivatives</w:t>
            </w:r>
            <w:r>
              <w:rPr>
                <w:sz w:val="22"/>
              </w:rPr>
              <w:t xml:space="preserve"> (</w:t>
            </w:r>
            <w:r>
              <w:rPr>
                <w:caps/>
                <w:sz w:val="22"/>
              </w:rPr>
              <w:t>bm&amp;f futures</w:t>
            </w:r>
            <w:r>
              <w:rPr>
                <w:sz w:val="22"/>
              </w:rPr>
              <w:t>)</w:t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(A) Exchange Rates:  </w:t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Heading1"/>
              <w:tabs>
                <w:tab w:val="clear" w:pos="720"/>
                <w:tab w:val="left" w:pos="2322" w:leader="none"/>
              </w:tabs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80" w:type="dxa"/>
            <w:tcBorders/>
          </w:tcPr>
          <w:p>
            <w:pPr>
              <w:pStyle w:val="Heading1"/>
              <w:numPr>
                <w:ilvl w:val="0"/>
                <w:numId w:val="2"/>
              </w:numPr>
              <w:tabs>
                <w:tab w:val="clear" w:pos="720"/>
                <w:tab w:val="left" w:pos="702" w:leader="none"/>
                <w:tab w:val="left" w:pos="1065" w:leader="none"/>
                <w:tab w:val="left" w:pos="2322" w:leader="none"/>
              </w:tabs>
              <w:ind w:hanging="360" w:start="1065" w:end="0"/>
              <w:rPr>
                <w:sz w:val="22"/>
              </w:rPr>
            </w:pPr>
            <w:r>
              <w:rPr>
                <w:sz w:val="22"/>
              </w:rPr>
              <w:t>U.S. Dollar Futures</w:t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Heading1"/>
              <w:tabs>
                <w:tab w:val="clear" w:pos="720"/>
                <w:tab w:val="left" w:pos="2322" w:leader="none"/>
              </w:tabs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80" w:type="dxa"/>
            <w:tcBorders/>
          </w:tcPr>
          <w:p>
            <w:pPr>
              <w:pStyle w:val="Heading1"/>
              <w:numPr>
                <w:ilvl w:val="0"/>
                <w:numId w:val="4"/>
              </w:numPr>
              <w:tabs>
                <w:tab w:val="clear" w:pos="720"/>
                <w:tab w:val="left" w:pos="702" w:leader="none"/>
                <w:tab w:val="left" w:pos="1062" w:leader="none"/>
                <w:tab w:val="left" w:pos="2322" w:leader="none"/>
              </w:tabs>
              <w:ind w:hanging="360" w:start="1062" w:end="0"/>
              <w:rPr>
                <w:sz w:val="22"/>
              </w:rPr>
            </w:pPr>
            <w:r>
              <w:rPr>
                <w:sz w:val="22"/>
              </w:rPr>
              <w:t>Mini U.S. Dollar Futures</w:t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rPr>
                <w:sz w:val="22"/>
              </w:rPr>
            </w:pPr>
            <w:r>
              <w:rPr>
                <w:sz w:val="22"/>
              </w:rPr>
              <w:tab/>
              <w:t>(B) Index:  Ibovespa Futures</w:t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  <w:tab w:val="left" w:pos="2052" w:leader="none"/>
              </w:tabs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  <w:tab w:val="left" w:pos="2052" w:leader="none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(C) Interest Rates:  </w:t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tabs>
                <w:tab w:val="clear" w:pos="720"/>
                <w:tab w:val="left" w:pos="2052" w:leader="none"/>
              </w:tabs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80" w:type="dxa"/>
            <w:tcBorders/>
          </w:tcPr>
          <w:p>
            <w:pPr>
              <w:pStyle w:val="Heading1"/>
              <w:numPr>
                <w:ilvl w:val="0"/>
                <w:numId w:val="2"/>
              </w:numPr>
              <w:tabs>
                <w:tab w:val="clear" w:pos="720"/>
                <w:tab w:val="left" w:pos="702" w:leader="none"/>
                <w:tab w:val="left" w:pos="1065" w:leader="none"/>
                <w:tab w:val="left" w:pos="2322" w:leader="none"/>
              </w:tabs>
              <w:ind w:hanging="360" w:start="1065" w:end="0"/>
              <w:rPr>
                <w:sz w:val="22"/>
              </w:rPr>
            </w:pPr>
            <w:r>
              <w:rPr>
                <w:sz w:val="22"/>
              </w:rPr>
              <w:t>One-Day Interbank Deposits Futures</w:t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tabs>
                <w:tab w:val="clear" w:pos="720"/>
                <w:tab w:val="left" w:pos="2052" w:leader="none"/>
              </w:tabs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702" w:leader="none"/>
                <w:tab w:val="left" w:pos="1062" w:leader="none"/>
                <w:tab w:val="left" w:pos="2052" w:leader="none"/>
              </w:tabs>
              <w:ind w:hanging="0" w:start="702" w:end="0"/>
              <w:rPr>
                <w:sz w:val="22"/>
              </w:rPr>
            </w:pPr>
            <w:r>
              <w:rPr>
                <w:sz w:val="22"/>
              </w:rPr>
              <w:t>Thirty-Day Interbank Deposits Futures</w:t>
            </w:r>
          </w:p>
          <w:p>
            <w:pPr>
              <w:pStyle w:val="Normal"/>
              <w:tabs>
                <w:tab w:val="clear" w:pos="720"/>
                <w:tab w:val="left" w:pos="1062" w:leader="none"/>
                <w:tab w:val="left" w:pos="205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(2) </w:t>
            </w:r>
            <w:r>
              <w:rPr>
                <w:sz w:val="22"/>
                <w:u w:val="single"/>
              </w:rPr>
              <w:t>Regulated OTC Swaps with Banks or Local Brokers*</w:t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  <w:tab w:val="left" w:pos="702" w:leader="none"/>
              </w:tabs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  <w:tab w:val="left" w:pos="702" w:leader="none"/>
              </w:tabs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  <w:tab w:val="left" w:pos="702" w:leader="none"/>
              </w:tabs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  <w:tab w:val="left" w:pos="702" w:leader="none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(A) Local OTC Forwards (FX spot, R$ and USD </w:t>
              <w:tab/>
              <w:tab/>
              <w:tab/>
              <w:t>local interest rate)</w:t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rPr>
                <w:sz w:val="22"/>
              </w:rPr>
            </w:pPr>
            <w:r>
              <w:rPr>
                <w:sz w:val="22"/>
              </w:rPr>
              <w:tab/>
              <w:t>(B) Real Denominated Fixed Rate Bonds (LTN, BBC)</w:t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rPr>
                <w:sz w:val="22"/>
              </w:rPr>
            </w:pPr>
            <w:r>
              <w:rPr>
                <w:sz w:val="22"/>
              </w:rPr>
              <w:tab/>
              <w:t>(C) USD Denominated Fixed Rate Bonds (NTN, NBC)</w:t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rPr>
                <w:sz w:val="22"/>
              </w:rPr>
            </w:pPr>
            <w:r>
              <w:rPr>
                <w:sz w:val="22"/>
              </w:rPr>
              <w:tab/>
              <w:t>(D) Local USD Interest Rate Swaps</w:t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rPr>
                <w:sz w:val="22"/>
              </w:rPr>
            </w:pPr>
            <w:r>
              <w:rPr>
                <w:sz w:val="22"/>
              </w:rPr>
              <w:tab/>
              <w:t>(E) R$ Interest Rate Swaps</w:t>
            </w:r>
          </w:p>
          <w:p>
            <w:pPr>
              <w:pStyle w:val="Normal"/>
              <w:tabs>
                <w:tab w:val="clear" w:pos="720"/>
                <w:tab w:val="left" w:pos="34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tabs>
                <w:tab w:val="clear" w:pos="720"/>
                <w:tab w:val="left" w:pos="432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(3) </w:t>
            </w:r>
            <w:r>
              <w:rPr>
                <w:sz w:val="22"/>
                <w:u w:val="single"/>
              </w:rPr>
              <w:t>Trading Equities on Exchange</w:t>
            </w:r>
          </w:p>
          <w:p>
            <w:pPr>
              <w:pStyle w:val="Normal"/>
              <w:tabs>
                <w:tab w:val="clear" w:pos="720"/>
                <w:tab w:val="left" w:pos="43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tabs>
                <w:tab w:val="clear" w:pos="720"/>
                <w:tab w:val="left" w:pos="432" w:leader="none"/>
              </w:tabs>
              <w:rPr>
                <w:sz w:val="22"/>
              </w:rPr>
            </w:pPr>
            <w:r>
              <w:rPr>
                <w:sz w:val="22"/>
              </w:rPr>
              <w:t>* CC-5 Accounts if offshore</w:t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Enron Brazil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Entity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ONSHORE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t>and/or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OFFSHORE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OTC commodity swaps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sectPr>
      <w:footerReference w:type="default" r:id="rId3"/>
      <w:type w:val="nextPage"/>
      <w:pgSz w:w="12240" w:h="15840"/>
      <w:pgMar w:left="720" w:right="72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/mnt/main-storage/datasets/enron-docs/doc/Products-ae861e6d6e73cfb7f8d0162d70d07dbdac8b76d378d8ab0f3ed84fb4be5cfef8.doc</w:t>
    </w:r>
    <w:r>
      <w:rPr>
        <w:sz w:val="16"/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2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/>
    <w:rPr>
      <w:rFonts w:ascii="Arial" w:hAnsi="Arial" w:cs="Arial"/>
    </w:rPr>
  </w:style>
  <w:style w:type="paragraph" w:styleId="Date">
    <w:name w:val="Date"/>
    <w:basedOn w:val="Normal"/>
    <w:qFormat/>
    <w:pPr/>
    <w:rPr>
      <w:rFonts w:ascii="Arial" w:hAnsi="Arial" w:cs="Arial"/>
    </w:rPr>
  </w:style>
  <w:style w:type="paragraph" w:styleId="To">
    <w:name w:val="To"/>
    <w:basedOn w:val="Normal"/>
    <w:qFormat/>
    <w:pPr/>
    <w:rPr>
      <w:rFonts w:ascii="Arial" w:hAnsi="Arial" w:cs="Arial"/>
    </w:rPr>
  </w:style>
  <w:style w:type="paragraph" w:styleId="From">
    <w:name w:val="From"/>
    <w:basedOn w:val="Normal"/>
    <w:qFormat/>
    <w:pPr/>
    <w:rPr>
      <w:rFonts w:ascii="Arial" w:hAnsi="Arial" w:cs="Arial"/>
    </w:rPr>
  </w:style>
  <w:style w:type="paragraph" w:styleId="Body">
    <w:name w:val="Body"/>
    <w:basedOn w:val="Normal"/>
    <w:qFormat/>
    <w:pPr>
      <w:ind w:hanging="0" w:start="72" w:end="0"/>
    </w:pPr>
    <w:rPr>
      <w:rFonts w:ascii="Arial" w:hAnsi="Arial" w:cs="Arial"/>
      <w:color w:val="000080"/>
    </w:rPr>
  </w:style>
  <w:style w:type="paragraph" w:styleId="Department">
    <w:name w:val="Department"/>
    <w:basedOn w:val="Normal"/>
    <w:qFormat/>
    <w:pPr/>
    <w:rPr>
      <w:rFonts w:ascii="Arial" w:hAnsi="Arial" w:cs="Ari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1999-09-14T12:23:00Z</dcterms:created>
  <dc:creator>kaye ellis</dc:creator>
  <dc:description/>
  <dc:language>en-CA</dc:language>
  <cp:lastModifiedBy>kaye ellis</cp:lastModifiedBy>
  <cp:lastPrinted>1999-09-17T11:31:00Z</cp:lastPrinted>
  <dcterms:modified xsi:type="dcterms:W3CDTF">1999-09-17T14:01:00Z</dcterms:modified>
  <cp:revision>10</cp:revision>
  <dc:subject/>
  <dc:title>PRODUCTS FOR TRADING IN BRAZIL</dc:title>
</cp:coreProperties>
</file>