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143000" cy="952500"/>
            <wp:effectExtent l="0" t="0" r="0" b="0"/>
            <wp:wrapNone/>
            <wp:docPr id="1" name="fw_logo_n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w_logo_n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26" r="-2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Web"/>
        <w:spacing w:before="0" w:after="0"/>
        <w:ind w:firstLine="720" w:end="0"/>
        <w:rPr>
          <w:rFonts w:ascii="Arial" w:hAnsi="Arial" w:cs="Arial"/>
          <w:b/>
          <w:bCs/>
          <w:sz w:val="28"/>
        </w:rPr>
      </w:pPr>
      <w:r>
        <w:rPr>
          <w:rFonts w:eastAsia="Arial" w:cs="Arial" w:ascii="Arial" w:hAnsi="Arial"/>
          <w:color w:val="F40000"/>
          <w:sz w:val="28"/>
        </w:rPr>
        <w:t xml:space="preserve">     </w:t>
      </w:r>
      <w:r>
        <w:rPr>
          <w:rFonts w:cs="Arial" w:ascii="Arial" w:hAnsi="Arial"/>
          <w:b/>
          <w:bCs/>
          <w:color w:val="D60000"/>
          <w:sz w:val="28"/>
        </w:rPr>
        <w:t>Fried</w:t>
      </w:r>
      <w:r>
        <w:rPr>
          <w:rFonts w:cs="Arial" w:ascii="Arial" w:hAnsi="Arial"/>
          <w:b/>
          <w:bCs/>
          <w:sz w:val="28"/>
        </w:rPr>
        <w:t xml:space="preserve">Wire </w:t>
      </w:r>
      <w:r>
        <w:rPr>
          <w:rFonts w:cs="Arial" w:ascii="Arial" w:hAnsi="Arial"/>
          <w:b/>
          <w:bCs/>
          <w:sz w:val="18"/>
        </w:rPr>
        <w:t>Inc.</w:t>
      </w:r>
    </w:p>
    <w:p>
      <w:pPr>
        <w:pStyle w:val="NormalWeb"/>
        <w:spacing w:before="0" w:after="0"/>
        <w:rPr>
          <w:rFonts w:ascii="Arial" w:hAnsi="Arial" w:cs="Arial"/>
          <w:b/>
          <w:bCs/>
          <w:sz w:val="56"/>
        </w:rPr>
      </w:pPr>
      <w:r>
        <w:rPr>
          <w:rFonts w:cs="Arial" w:ascii="Arial" w:hAnsi="Arial"/>
          <w:b/>
          <w:bCs/>
          <w:sz w:val="56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Web"/>
        <w:spacing w:before="0" w:after="0"/>
        <w:rPr>
          <w:rFonts w:ascii="Arial" w:hAnsi="Arial" w:cs="Arial"/>
          <w:sz w:val="48"/>
          <w:lang w:val="en-CA" w:eastAsia="en-CA"/>
        </w:rPr>
      </w:pPr>
      <w:r>
        <w:rPr>
          <w:rFonts w:cs="Arial" w:ascii="Arial" w:hAnsi="Arial"/>
          <w:b/>
          <w:bCs/>
          <w:sz w:val="48"/>
        </w:rPr>
        <w:t>Traffic Report Product Update</w:t>
      </w:r>
    </w:p>
    <w:p>
      <w:pPr>
        <w:pStyle w:val="NormalWeb"/>
        <w:spacing w:before="0" w:after="0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  <w:t xml:space="preserve">December 8, 2000 </w:t>
      </w:r>
    </w:p>
    <w:p>
      <w:pPr>
        <w:pStyle w:val="Normal"/>
        <w:rPr>
          <w:rFonts w:ascii="Arial" w:hAnsi="Arial" w:cs="Arial"/>
          <w:sz w:val="22"/>
          <w:lang w:val="en-CA" w:eastAsia="en-CA"/>
        </w:rPr>
      </w:pPr>
      <w:r>
        <w:rPr>
          <w:rFonts w:cs="Arial" w:ascii="Arial" w:hAnsi="Arial"/>
          <w:sz w:val="22"/>
          <w:lang w:val="en-CA" w:eastAsia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767715</wp:posOffset>
                </wp:positionH>
                <wp:positionV relativeFrom="paragraph">
                  <wp:posOffset>41275</wp:posOffset>
                </wp:positionV>
                <wp:extent cx="529590" cy="461010"/>
                <wp:effectExtent l="0" t="0" r="12700" b="1270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473710"/>
                        </a:xfrm>
                        <a:prstGeom prst="rect"/>
                        <a:solidFill>
                          <a:srgbClr val="FFFF00"/>
                        </a:solidFill>
                        <a:ln w="9525">
                          <a:solidFill>
                            <a:srgbClr val="D60000"/>
                          </a:solidFill>
                        </a:ln>
                        <a:effectLst>
                          <a:outerShdw dist="17780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Cs w:val="3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000000"/>
                                <w:szCs w:val="36"/>
                              </w:rPr>
                              <w:t>NEW!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00" strokecolor="#D60000" strokeweight="0pt" style="position:absolute;rotation:-0;width:42.7pt;height:37.3pt;mso-wrap-distance-left:9.05pt;mso-wrap-distance-right:9.05pt;mso-wrap-distance-top:0pt;mso-wrap-distance-bottom:0pt;margin-top:3.25pt;mso-position-vertical-relative:text;margin-left:60.45pt;mso-position-horizontal-relative:text">
                <v:shadow on="t" color="#000000" offset="1pt,1pt"/>
                <v:textbox>
                  <w:txbxContent>
                    <w:p>
                      <w:pPr>
                        <w:pStyle w:val="Normal"/>
                        <w:autoSpaceDE w:val="false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Cs w:val="36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bCs/>
                          <w:color w:val="000000"/>
                          <w:szCs w:val="36"/>
                        </w:rPr>
                        <w:t>NEW!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Look for the</w:t>
        <w:tab/>
        <w:tab/>
        <w:t xml:space="preserve">button and follow it to see the expanded functionality in the Traffic Report.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hyperlink r:id="rId3">
        <w:r>
          <w:rPr>
            <w:rStyle w:val="Hyperlink"/>
            <w:rFonts w:cs="Arial" w:ascii="Arial" w:hAnsi="Arial"/>
            <w:sz w:val="22"/>
          </w:rPr>
          <w:t>Click here to logon</w:t>
        </w:r>
      </w:hyperlink>
      <w:r>
        <w:rPr>
          <w:rFonts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000000" w:val="clear"/>
        <w:ind w:hanging="0" w:start="0"/>
        <w:rPr>
          <w:sz w:val="22"/>
        </w:rPr>
      </w:pPr>
      <w:r>
        <w:rPr>
          <w:sz w:val="22"/>
        </w:rPr>
        <w:t xml:space="preserve">Market Notices In Your Email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E-mail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Get operational updates in your mailbox when regional market notices occur for: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Transmission Line Relief (TLR) Notices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Emergency redispatch reports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Curtailment Activities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California ISO - Stage 1, 2 and 3 Alerts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Daily Morning Reports from ISOs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000000" w:val="clear"/>
        <w:ind w:hanging="0" w:start="0"/>
        <w:rPr>
          <w:sz w:val="22"/>
        </w:rPr>
      </w:pPr>
      <w:r>
        <w:rPr>
          <w:sz w:val="22"/>
        </w:rPr>
        <w:t xml:space="preserve">Power Flows Display Improved </w:t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</w:rPr>
        <w:t>Direction &amp; Load Indicator</w:t>
      </w:r>
      <w:r>
        <w:rPr>
          <w:rFonts w:cs="Arial" w:ascii="Arial" w:hAnsi="Arial"/>
          <w:sz w:val="22"/>
        </w:rPr>
        <w:t xml:space="preserve">. </w:t>
      </w:r>
    </w:p>
    <w:p>
      <w:pPr>
        <w:pStyle w:val="Normal"/>
        <w:rPr>
          <w:rFonts w:ascii="Arial" w:hAnsi="Arial" w:cs="Arial"/>
          <w:sz w:val="22"/>
        </w:rPr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303530</wp:posOffset>
            </wp:positionV>
            <wp:extent cx="2171700" cy="40322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" t="-97" r="-18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2"/>
        </w:rPr>
        <w:t xml:space="preserve">New indicator shows intertie loading and change from last tick.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Column Sorting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Sort by Column:</w:t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Sort any column by clicking on the column heading</w:t>
      </w:r>
    </w:p>
    <w:p>
      <w:pPr>
        <w:pStyle w:val="Normal"/>
        <w:ind w:firstLine="72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“</w:t>
      </w:r>
      <w:r>
        <w:rPr>
          <w:rFonts w:cs="Arial" w:ascii="Arial" w:hAnsi="Arial"/>
          <w:sz w:val="22"/>
        </w:rPr>
        <w:t xml:space="preserve">Basic” and “Detailed” Views: </w:t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You control how many columns are displayed </w:t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Pagination of Long Tables:</w:t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Click on page numbers at the bottom of any page to see the next page of data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000000" w:val="clear"/>
        <w:ind w:hanging="0" w:start="0"/>
        <w:rPr>
          <w:sz w:val="22"/>
        </w:rPr>
      </w:pPr>
      <w:r>
        <w:rPr>
          <w:sz w:val="22"/>
        </w:rPr>
        <w:t xml:space="preserve">Map Navigation Improved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Now you can simply click on the maps to see the larger version. </w:t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St5z0">
    <w:name w:val="WW8NumSt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friedwire.com/trafficreport/frontpage/fwwelcome.jsp" TargetMode="Externa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2000-12-08T17:12:00Z</dcterms:created>
  <dc:creator>Stuart Wright</dc:creator>
  <dc:description/>
  <dc:language>en-CA</dc:language>
  <cp:lastModifiedBy>Stuart Wright</cp:lastModifiedBy>
  <dcterms:modified xsi:type="dcterms:W3CDTF">2000-12-08T17:12:00Z</dcterms:modified>
  <cp:revision>2</cp:revision>
  <dc:subject/>
  <dc:title/>
</cp:coreProperties>
</file>