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00FF"/>
        </w:rPr>
      </w:pPr>
      <w:r>
        <w:rPr>
          <w:color w:val="0000FF"/>
        </w:rPr>
        <w:t>Product Type: Financial Currency Forward Swap</w:t>
      </w:r>
    </w:p>
    <w:p>
      <w:pPr>
        <w:pStyle w:val="Normal"/>
        <w:jc w:val="both"/>
        <w:rPr>
          <w:rFonts w:ascii="Arial" w:hAnsi="Arial" w:cs="Arial"/>
        </w:rPr>
      </w:pPr>
      <w:r>
        <w:rPr>
          <w:rFonts w:cs="Arial" w:ascii="Arial" w:hAnsi="Arial"/>
        </w:rPr>
        <w:t>Products Affected: 38117, 38113, 38115, 38073, 38123, 38155, 37984, 38069, 38119, 38125, 38071, 38121, 38127</w:t>
      </w:r>
    </w:p>
    <w:p>
      <w:pPr>
        <w:pStyle w:val="BodyText"/>
        <w:rPr>
          <w:rFonts w:ascii="Arial" w:hAnsi="Arial" w:cs="Arial"/>
        </w:rPr>
      </w:pPr>
      <w:r>
        <w:rPr>
          <w:rFonts w:cs="Arial"/>
        </w:rPr>
      </w:r>
    </w:p>
    <w:p>
      <w:pPr>
        <w:pStyle w:val="BodyText"/>
        <w:rPr/>
      </w:pPr>
      <w:r>
        <w:rPr/>
        <w:t xml:space="preserve">A currency Transaction with (i) where the Transaction is completed between the hours of 18:00 and 23:00 Greenwich Meantime, Risk Management &amp; Trading Corp.; (ii) where the Transaction is completed between the hours of 7:00 and 18:00 Greenwich Meantime, Enron Europe Finance &amp; Trading Limited as agent for Risk Management &amp; Trading Corp.; and (iii) where the Transaction is completed between the hours of 23:00 and 7:00 Greenwich Meantime, Enron Japan Corp. as agent for Risk Management &amp; Trading Corp., (each, individually, 'The Relevant Enron Entity') under which either (A) for the case in which Counterparty submits an offer to buy from The Relevant Enron Entity , Counterparty shall receive the Base Currency Amount  and shall pay the Foreign Currency Amount , or (B) for the case in which Counterparty submits an offer to sell to The Relevant Enron Entity , Counterparty shall pay the Base Currency Amount  and shall receive the Foreign Currency Amount. The Base Currency Amount shall equal the volume submitted by Counterparty via the website </w:t>
      </w:r>
      <w:r>
        <w:rPr>
          <w:highlight w:val="lightGray"/>
        </w:rPr>
        <w:t>multiplied by the unit of measure</w:t>
      </w:r>
      <w:r>
        <w:rPr/>
        <w:t>. The Foreign Currency Amount shall equal the Base Currency Amount multiplied by the price submitted by the Counterparty via the website.</w:t>
      </w:r>
    </w:p>
    <w:p>
      <w:pPr>
        <w:pStyle w:val="Normal"/>
        <w:jc w:val="both"/>
        <w:rPr>
          <w:rFonts w:ascii="Arial" w:hAnsi="Arial" w:cs="Arial"/>
        </w:rPr>
      </w:pPr>
      <w:r>
        <w:rPr>
          <w:rFonts w:cs="Arial" w:ascii="Arial" w:hAnsi="Arial"/>
        </w:rPr>
        <w:t>The Settlement Date shall correspond to the date set forth in the Product Description on the website.</w:t>
      </w:r>
    </w:p>
    <w:p>
      <w:pPr>
        <w:pStyle w:val="Normal"/>
        <w:jc w:val="both"/>
        <w:rPr>
          <w:rFonts w:ascii="Arial" w:hAnsi="Arial" w:cs="Arial"/>
        </w:rPr>
      </w:pPr>
      <w:r>
        <w:rPr>
          <w:rFonts w:cs="Arial" w:ascii="Arial" w:hAnsi="Arial"/>
        </w:rPr>
        <w:t>.</w:t>
      </w:r>
    </w:p>
    <w:p>
      <w:pPr>
        <w:pStyle w:val="Normal"/>
        <w:jc w:val="both"/>
        <w:rPr>
          <w:rFonts w:ascii="Arial" w:hAnsi="Arial" w:cs="Arial"/>
        </w:rPr>
      </w:pPr>
      <w:r>
        <w:rPr>
          <w:rFonts w:cs="Arial" w:ascii="Arial" w:hAnsi="Arial"/>
        </w:rPr>
        <w:t>The price is quoted in JPY (the 'Foreign Currency') per US Dollar (the 'Base Currency').</w:t>
      </w:r>
    </w:p>
    <w:p>
      <w:pPr>
        <w:pStyle w:val="Normal"/>
        <w:jc w:val="both"/>
        <w:rPr/>
      </w:pPr>
      <w:r>
        <w:rPr>
          <w:rFonts w:cs="Arial" w:ascii="Arial" w:hAnsi="Arial"/>
        </w:rPr>
        <w:t>The unit of measure against which the price is quoted shall be US Dollars</w:t>
      </w:r>
      <w:r>
        <w:rPr>
          <w:rFonts w:cs="Arial" w:ascii="Arial" w:hAnsi="Arial"/>
          <w:highlight w:val="lightGray"/>
        </w:rPr>
        <w:t>, and each unit of volume shown represents one million US Dollars ($1,000,000)</w:t>
      </w:r>
      <w:r>
        <w:rPr>
          <w:rFonts w:cs="Arial" w:ascii="Arial" w:hAnsi="Arial"/>
        </w:rPr>
        <w:t>.</w:t>
      </w:r>
    </w:p>
    <w:p>
      <w:pPr>
        <w:pStyle w:val="Normal"/>
        <w:jc w:val="both"/>
        <w:rPr>
          <w:rFonts w:ascii="Arial" w:hAnsi="Arial" w:cs="Arial"/>
        </w:rPr>
      </w:pPr>
      <w:r>
        <w:rPr>
          <w:rFonts w:cs="Arial" w:ascii="Arial" w:hAnsi="Arial"/>
        </w:rPr>
      </w:r>
    </w:p>
    <w:p>
      <w:pPr>
        <w:pStyle w:val="Heading1"/>
        <w:ind w:hanging="0" w:start="0"/>
        <w:rPr>
          <w:color w:val="0000FF"/>
        </w:rPr>
      </w:pPr>
      <w:r>
        <w:rPr>
          <w:color w:val="0000FF"/>
        </w:rPr>
        <w:t>Product Type: Financial Currency Swap</w:t>
      </w:r>
    </w:p>
    <w:p>
      <w:pPr>
        <w:pStyle w:val="Normal"/>
        <w:jc w:val="both"/>
        <w:rPr>
          <w:rFonts w:ascii="Arial" w:hAnsi="Arial" w:cs="Arial"/>
        </w:rPr>
      </w:pPr>
      <w:r>
        <w:rPr>
          <w:rFonts w:cs="Arial" w:ascii="Arial" w:hAnsi="Arial"/>
        </w:rPr>
        <w:t>Products Affected: 36689, 38899, 32078, 36686, 38897, 35946, 34493, 36687, 35945, 31968</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 currency Transaction with Risk Management &amp; Trading Corp. ("RMT") under which either (A) for the case in which Counterparty submits an offer to buy from RMT, Counterparty shall pay a Fixed Amount and shall receive the Floating  Amount, or (B) for the case in which Counterparty submits an offer to sell to RMT, Counterparty shall receive the Fixed  Amount and shall pay the Floating  Amount. Each calendar month during the term of the Transaction will be a Determination Period; provided however, that in the event the term of the Transaction is less than one calendar month, the Determination Period shall be the term of the Transaction. The Notional Amount per Determination Period shall equal the volume submitted by the Counterparty via the website divided by the number of Determination Periods during the term of the Transaction. The Fixed  Amount payable per Determination Period shall equal the product of  the Notional Amount per Determination Period multiplied by the price submitted by the Counterparty via the website. The Floating Amount payable per Determination Period shall equal the product of the Notional Amount per Determination Period multiplied by the Index. The Payment Date shall be the Valuation Date.  The Valuation Date for each Determination Period shall be the first Business Day of such Determination Period.</w:t>
      </w:r>
    </w:p>
    <w:p>
      <w:pPr>
        <w:pStyle w:val="Normal"/>
        <w:jc w:val="both"/>
        <w:rPr>
          <w:rFonts w:ascii="Arial" w:hAnsi="Arial" w:cs="Arial"/>
        </w:rPr>
      </w:pPr>
      <w:r>
        <w:rPr>
          <w:rFonts w:cs="Arial" w:ascii="Arial" w:hAnsi="Arial"/>
        </w:rPr>
        <w:t>The term of the Transaction shall correspond to the date(s) set forth in the Product description on the website.</w:t>
      </w:r>
    </w:p>
    <w:p>
      <w:pPr>
        <w:pStyle w:val="Normal"/>
        <w:jc w:val="both"/>
        <w:rPr>
          <w:rFonts w:ascii="Arial" w:hAnsi="Arial" w:cs="Arial"/>
        </w:rPr>
      </w:pPr>
      <w:r>
        <w:rPr>
          <w:rFonts w:cs="Arial" w:ascii="Arial" w:hAnsi="Arial"/>
        </w:rPr>
        <w:t>The Index for each Determination Period shall be the USD/CAD rate equal to the rate set forth on Rueters page BOFC under the headings 'Bank of Canada'; 'Canadian Dollar' Exchange rates';'Noon', opposite the caption 'USD' as of 12:00 p.m. noon, Toronto time, on the Valuation Date.</w:t>
      </w:r>
    </w:p>
    <w:p>
      <w:pPr>
        <w:pStyle w:val="Normal"/>
        <w:jc w:val="both"/>
        <w:rPr>
          <w:rFonts w:ascii="Arial" w:hAnsi="Arial" w:cs="Arial"/>
        </w:rPr>
      </w:pPr>
      <w:r>
        <w:rPr>
          <w:rFonts w:cs="Arial" w:ascii="Arial" w:hAnsi="Arial"/>
        </w:rPr>
        <w:t>The price is quoted in Canadian Dollars per unit of volume, which will be the Contractual Currency.</w:t>
      </w:r>
    </w:p>
    <w:p>
      <w:pPr>
        <w:pStyle w:val="Normal"/>
        <w:jc w:val="both"/>
        <w:rPr/>
      </w:pPr>
      <w:r>
        <w:rPr>
          <w:rFonts w:cs="Arial" w:ascii="Arial" w:hAnsi="Arial"/>
        </w:rPr>
        <w:t>The unit of measure against which the price is quoted shall be US Dollars</w:t>
      </w:r>
      <w:r>
        <w:rPr>
          <w:rFonts w:cs="Arial" w:ascii="Arial" w:hAnsi="Arial"/>
          <w:highlight w:val="lightGray"/>
        </w:rPr>
        <w:t>, and each unit of volume shown represents one million US Dollars ($1,000,000).</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2001-02-12T15:04:00Z</dcterms:created>
  <dc:creator>Carlos Alatorre</dc:creator>
  <dc:description/>
  <dc:language>en-CA</dc:language>
  <cp:lastModifiedBy>Carlos Alatorre</cp:lastModifiedBy>
  <cp:lastPrinted>2001-02-12T13:51:00Z</cp:lastPrinted>
  <dcterms:modified xsi:type="dcterms:W3CDTF">2001-02-12T21:49:00Z</dcterms:modified>
  <cp:revision>4</cp:revision>
  <dc:subject/>
  <dc:title>Product Type: Financial Currency Forward Swap</dc:title>
</cp:coreProperties>
</file>