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20875"/>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20875"/>
                        </a:xfrm>
                        <a:prstGeom prst="rect"/>
                        <a:solidFill>
                          <a:srgbClr val="FFFFFF">
                            <a:alpha val="0"/>
                          </a:srgbClr>
                        </a:solidFill>
                      </wps:spPr>
                      <wps:txbx>
                        <w:txbxContent>
                          <w:p>
                            <w:pPr>
                              <w:pStyle w:val="Normal"/>
                              <w:spacing w:before="60" w:after="60"/>
                              <w:rPr>
                                <w:sz w:val="18"/>
                              </w:rPr>
                            </w:pPr>
                            <w:r>
                              <w:rPr>
                                <w:sz w:val="18"/>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1731324252" r:id="rId2"/>
                              </w:object>
                            </w:r>
                          </w:p>
                          <w:p>
                            <w:pPr>
                              <w:pStyle w:val="Normal"/>
                              <w:rPr>
                                <w:sz w:val="18"/>
                              </w:rPr>
                            </w:pPr>
                            <w:r>
                              <w:rPr>
                                <w:sz w:val="18"/>
                              </w:rPr>
                            </w:r>
                          </w:p>
                          <w:p>
                            <w:pPr>
                              <w:pStyle w:val="Normal"/>
                              <w:spacing w:before="0" w:after="0"/>
                              <w:rPr>
                                <w:rFonts w:ascii="Arial" w:hAnsi="Arial" w:cs="Arial"/>
                                <w:sz w:val="18"/>
                              </w:rPr>
                            </w:pPr>
                            <w:r>
                              <w:rPr>
                                <w:rFonts w:cs="Arial" w:ascii="Arial" w:hAnsi="Arial"/>
                                <w:b/>
                                <w:sz w:val="18"/>
                              </w:rPr>
                              <w:t>InterOffice Memo</w:t>
                            </w:r>
                          </w:p>
                        </w:txbxContent>
                      </wps:txbx>
                      <wps:bodyPr anchor="t" lIns="0" tIns="0" rIns="0" bIns="0">
                        <a:noAutofit/>
                      </wps:bodyPr>
                    </wps:wsp>
                  </a:graphicData>
                </a:graphic>
              </wp:anchor>
            </w:drawing>
          </mc:Choice>
          <mc:Fallback>
            <w:pict>
              <v:rect fillcolor="#FFFFFF" style="position:absolute;rotation:-0;width:300.8pt;height:151.25pt;mso-wrap-distance-left:9pt;mso-wrap-distance-right:9pt;mso-wrap-distance-top:0pt;mso-wrap-distance-bottom:0pt;margin-top:-50.95pt;mso-position-vertical-relative:text;margin-left:83.3pt;mso-position-horizontal-relative:page">
                <v:fill opacity="0f"/>
                <v:textbox inset="0in,0in,0in,0in">
                  <w:txbxContent>
                    <w:p>
                      <w:pPr>
                        <w:pStyle w:val="Normal"/>
                        <w:spacing w:before="60" w:after="60"/>
                        <w:rPr>
                          <w:sz w:val="18"/>
                        </w:rPr>
                      </w:pPr>
                      <w:r>
                        <w:rPr>
                          <w:sz w:val="18"/>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491877286" r:id="rId4"/>
                        </w:object>
                      </w:r>
                    </w:p>
                    <w:p>
                      <w:pPr>
                        <w:pStyle w:val="Normal"/>
                        <w:rPr>
                          <w:sz w:val="18"/>
                        </w:rPr>
                      </w:pPr>
                      <w:r>
                        <w:rPr>
                          <w:sz w:val="18"/>
                        </w:rPr>
                      </w:r>
                    </w:p>
                    <w:p>
                      <w:pPr>
                        <w:pStyle w:val="Normal"/>
                        <w:spacing w:before="0" w:after="0"/>
                        <w:rPr>
                          <w:rFonts w:ascii="Arial" w:hAnsi="Arial" w:cs="Arial"/>
                          <w:sz w:val="18"/>
                        </w:rPr>
                      </w:pPr>
                      <w:r>
                        <w:rPr>
                          <w:rFonts w:cs="Arial" w:ascii="Arial" w:hAnsi="Arial"/>
                          <w:b/>
                          <w:sz w:val="18"/>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b/>
                <w:bCs/>
                <w:sz w:val="18"/>
              </w:rPr>
            </w:pPr>
            <w:r>
              <w:rPr>
                <w:rFonts w:cs="Arial" w:ascii="Arial" w:hAnsi="Arial"/>
                <w:b/>
                <w:bCs/>
                <w:sz w:val="18"/>
              </w:rPr>
              <w:t>To:</w:t>
            </w:r>
          </w:p>
        </w:tc>
        <w:tc>
          <w:tcPr>
            <w:tcW w:w="7560" w:type="dxa"/>
            <w:tcBorders/>
          </w:tcPr>
          <w:p>
            <w:pPr>
              <w:pStyle w:val="To"/>
              <w:spacing w:before="60" w:after="60"/>
              <w:rPr>
                <w:rFonts w:ascii="Arial" w:hAnsi="Arial" w:cs="Arial"/>
                <w:sz w:val="18"/>
              </w:rPr>
            </w:pPr>
            <w:bookmarkStart w:id="0" w:name="To"/>
            <w:bookmarkEnd w:id="0"/>
            <w:r>
              <w:rPr>
                <w:rFonts w:cs="Arial" w:ascii="Arial" w:hAnsi="Arial"/>
                <w:sz w:val="18"/>
              </w:rPr>
              <w:t>Jeff Shankman</w:t>
            </w:r>
          </w:p>
        </w:tc>
      </w:tr>
      <w:tr>
        <w:trPr/>
        <w:tc>
          <w:tcPr>
            <w:tcW w:w="1188" w:type="dxa"/>
            <w:tcBorders/>
          </w:tcPr>
          <w:p>
            <w:pPr>
              <w:pStyle w:val="Normal"/>
              <w:spacing w:before="60" w:after="60"/>
              <w:rPr>
                <w:rFonts w:ascii="Arial" w:hAnsi="Arial" w:cs="Arial"/>
                <w:sz w:val="18"/>
              </w:rPr>
            </w:pPr>
            <w:r>
              <w:rPr>
                <w:rFonts w:cs="Arial" w:ascii="Arial" w:hAnsi="Arial"/>
                <w:b/>
                <w:sz w:val="18"/>
              </w:rPr>
              <w:t>CC:</w:t>
            </w:r>
          </w:p>
        </w:tc>
        <w:tc>
          <w:tcPr>
            <w:tcW w:w="7560" w:type="dxa"/>
            <w:tcBorders/>
          </w:tcPr>
          <w:p>
            <w:pPr>
              <w:pStyle w:val="From"/>
              <w:snapToGrid w:val="false"/>
              <w:spacing w:before="0" w:after="0"/>
              <w:rPr>
                <w:rFonts w:ascii="Arial" w:hAnsi="Arial" w:cs="Arial"/>
                <w:sz w:val="18"/>
              </w:rPr>
            </w:pPr>
            <w:r>
              <w:rPr>
                <w:rFonts w:cs="Arial" w:ascii="Arial" w:hAnsi="Arial"/>
                <w:sz w:val="18"/>
              </w:rPr>
            </w:r>
            <w:bookmarkStart w:id="1" w:name="From"/>
            <w:bookmarkStart w:id="2" w:name="From"/>
            <w:bookmarkEnd w:id="2"/>
          </w:p>
        </w:tc>
      </w:tr>
      <w:tr>
        <w:trPr/>
        <w:tc>
          <w:tcPr>
            <w:tcW w:w="1188" w:type="dxa"/>
            <w:tcBorders/>
          </w:tcPr>
          <w:p>
            <w:pPr>
              <w:pStyle w:val="Normal"/>
              <w:spacing w:before="60" w:after="60"/>
              <w:rPr>
                <w:rFonts w:ascii="Arial" w:hAnsi="Arial" w:cs="Arial"/>
                <w:sz w:val="18"/>
              </w:rPr>
            </w:pPr>
            <w:r>
              <w:rPr>
                <w:rFonts w:cs="Arial" w:ascii="Arial" w:hAnsi="Arial"/>
                <w:b/>
                <w:sz w:val="18"/>
              </w:rPr>
              <w:t>From:</w:t>
            </w:r>
          </w:p>
        </w:tc>
        <w:tc>
          <w:tcPr>
            <w:tcW w:w="7560" w:type="dxa"/>
            <w:tcBorders/>
          </w:tcPr>
          <w:p>
            <w:pPr>
              <w:pStyle w:val="Date"/>
              <w:spacing w:before="60" w:after="60"/>
              <w:rPr>
                <w:rFonts w:ascii="Arial" w:hAnsi="Arial" w:cs="Arial"/>
                <w:sz w:val="18"/>
              </w:rPr>
            </w:pPr>
            <w:r>
              <w:rPr>
                <w:rFonts w:cs="Arial" w:ascii="Arial" w:hAnsi="Arial"/>
                <w:sz w:val="18"/>
              </w:rPr>
              <w:t>Joseph Hirl</w:t>
            </w:r>
          </w:p>
        </w:tc>
      </w:tr>
      <w:tr>
        <w:trPr/>
        <w:tc>
          <w:tcPr>
            <w:tcW w:w="1188" w:type="dxa"/>
            <w:tcBorders/>
          </w:tcPr>
          <w:p>
            <w:pPr>
              <w:pStyle w:val="Normal"/>
              <w:spacing w:before="60" w:after="60"/>
              <w:rPr>
                <w:rFonts w:ascii="Arial" w:hAnsi="Arial" w:cs="Arial"/>
                <w:sz w:val="18"/>
              </w:rPr>
            </w:pPr>
            <w:r>
              <w:rPr>
                <w:rFonts w:cs="Arial" w:ascii="Arial" w:hAnsi="Arial"/>
                <w:b/>
                <w:sz w:val="18"/>
              </w:rPr>
              <w:t>Date:</w:t>
            </w:r>
          </w:p>
        </w:tc>
        <w:tc>
          <w:tcPr>
            <w:tcW w:w="7560" w:type="dxa"/>
            <w:tcBorders/>
          </w:tcPr>
          <w:p>
            <w:pPr>
              <w:pStyle w:val="Subject"/>
              <w:spacing w:before="60" w:after="60"/>
              <w:rPr>
                <w:rFonts w:ascii="Arial" w:hAnsi="Arial" w:cs="Arial"/>
                <w:sz w:val="18"/>
              </w:rPr>
            </w:pPr>
            <w:bookmarkStart w:id="3" w:name="Subject"/>
            <w:bookmarkEnd w:id="3"/>
            <w:r>
              <w:rPr>
                <w:rFonts w:cs="Arial" w:ascii="Arial" w:hAnsi="Arial"/>
                <w:sz w:val="18"/>
              </w:rPr>
              <w:fldChar w:fldCharType="begin"/>
            </w:r>
            <w:r>
              <w:rPr>
                <w:sz w:val="18"/>
                <w:rFonts w:cs="Arial" w:ascii="Arial" w:hAnsi="Arial"/>
              </w:rPr>
              <w:instrText xml:space="preserve"> DATE \@"d\ MMMM\ yyyy" </w:instrText>
            </w:r>
            <w:r>
              <w:rPr>
                <w:sz w:val="18"/>
                <w:rFonts w:cs="Arial" w:ascii="Arial" w:hAnsi="Arial"/>
              </w:rPr>
              <w:fldChar w:fldCharType="separate"/>
            </w:r>
            <w:r>
              <w:rPr>
                <w:sz w:val="18"/>
                <w:rFonts w:cs="Arial" w:ascii="Arial" w:hAnsi="Arial"/>
              </w:rPr>
              <w:t>28 September 2025</w:t>
            </w:r>
            <w:r>
              <w:rPr>
                <w:sz w:val="18"/>
                <w:rFonts w:cs="Arial" w:ascii="Arial" w:hAnsi="Arial"/>
              </w:rPr>
              <w:fldChar w:fldCharType="end"/>
            </w:r>
          </w:p>
        </w:tc>
      </w:tr>
      <w:tr>
        <w:trPr/>
        <w:tc>
          <w:tcPr>
            <w:tcW w:w="1188" w:type="dxa"/>
            <w:tcBorders>
              <w:bottom w:val="single" w:sz="18" w:space="0" w:color="000000"/>
            </w:tcBorders>
          </w:tcPr>
          <w:p>
            <w:pPr>
              <w:pStyle w:val="Normal"/>
              <w:spacing w:before="60" w:after="60"/>
              <w:rPr>
                <w:rFonts w:ascii="Arial" w:hAnsi="Arial" w:cs="Arial"/>
                <w:sz w:val="18"/>
              </w:rPr>
            </w:pPr>
            <w:r>
              <w:rPr>
                <w:rFonts w:cs="Arial" w:ascii="Arial" w:hAnsi="Arial"/>
                <w:b/>
                <w:sz w:val="18"/>
              </w:rPr>
              <w:t>Subject:</w:t>
            </w:r>
          </w:p>
        </w:tc>
        <w:tc>
          <w:tcPr>
            <w:tcW w:w="7560" w:type="dxa"/>
            <w:tcBorders>
              <w:bottom w:val="single" w:sz="18" w:space="0" w:color="000000"/>
            </w:tcBorders>
          </w:tcPr>
          <w:p>
            <w:pPr>
              <w:pStyle w:val="Subject"/>
              <w:spacing w:before="60" w:after="60"/>
              <w:rPr>
                <w:rFonts w:ascii="Arial" w:hAnsi="Arial" w:cs="Arial"/>
                <w:b/>
                <w:bCs/>
                <w:sz w:val="18"/>
              </w:rPr>
            </w:pPr>
            <w:r>
              <w:rPr>
                <w:rFonts w:cs="Arial" w:ascii="Arial" w:hAnsi="Arial"/>
                <w:b/>
                <w:bCs/>
                <w:sz w:val="18"/>
              </w:rPr>
              <w:t>JPY WTI Swap - Draft</w:t>
            </w:r>
          </w:p>
        </w:tc>
      </w:tr>
    </w:tbl>
    <w:p>
      <w:pPr>
        <w:pStyle w:val="Normal"/>
        <w:spacing w:before="0" w:after="0"/>
        <w:rPr>
          <w:rFonts w:ascii="Arial" w:hAnsi="Arial" w:cs="Arial"/>
          <w:sz w:val="18"/>
        </w:rPr>
      </w:pPr>
      <w:r>
        <w:rPr>
          <w:rFonts w:cs="Arial" w:ascii="Arial" w:hAnsi="Arial"/>
          <w:sz w:val="18"/>
        </w:rPr>
      </w:r>
      <w:bookmarkStart w:id="4" w:name="StartOfMemo"/>
      <w:bookmarkStart w:id="5" w:name="StartOfMemo"/>
      <w:bookmarkEnd w:id="5"/>
    </w:p>
    <w:p>
      <w:pPr>
        <w:pStyle w:val="Normal"/>
        <w:spacing w:before="0" w:after="0"/>
        <w:ind w:hanging="2700" w:start="2700" w:end="0"/>
        <w:rPr>
          <w:rFonts w:ascii="Arial" w:hAnsi="Arial" w:cs="Arial"/>
          <w:sz w:val="18"/>
        </w:rPr>
      </w:pPr>
      <w:r>
        <w:rPr>
          <w:rFonts w:cs="Arial" w:ascii="Arial" w:hAnsi="Arial"/>
          <w:sz w:val="18"/>
        </w:rPr>
        <w:t>Products to be traded:</w:t>
        <w:tab/>
        <w:t>Financial NYEMX WTI Swap in JPY per kiloliter units</w:t>
      </w:r>
    </w:p>
    <w:p>
      <w:pPr>
        <w:pStyle w:val="Normal"/>
        <w:tabs>
          <w:tab w:val="clear" w:pos="720"/>
          <w:tab w:val="left" w:pos="2880" w:leader="none"/>
        </w:tabs>
        <w:spacing w:before="0" w:after="0"/>
        <w:rPr>
          <w:rFonts w:ascii="Arial" w:hAnsi="Arial" w:cs="Arial"/>
          <w:i/>
          <w:i/>
          <w:iCs/>
          <w:sz w:val="18"/>
        </w:rPr>
      </w:pPr>
      <w:r>
        <w:rPr>
          <w:rFonts w:cs="Arial" w:ascii="Arial" w:hAnsi="Arial"/>
          <w:i/>
          <w:iCs/>
          <w:sz w:val="18"/>
        </w:rPr>
      </w:r>
    </w:p>
    <w:p>
      <w:pPr>
        <w:pStyle w:val="Normal"/>
        <w:tabs>
          <w:tab w:val="clear" w:pos="720"/>
          <w:tab w:val="left" w:pos="2880" w:leader="none"/>
          <w:tab w:val="left" w:pos="5040" w:leader="none"/>
        </w:tabs>
        <w:spacing w:before="0" w:after="0"/>
        <w:ind w:hanging="2700" w:start="2700" w:end="0"/>
        <w:rPr>
          <w:rFonts w:ascii="Arial" w:hAnsi="Arial" w:cs="Arial"/>
          <w:sz w:val="18"/>
        </w:rPr>
      </w:pPr>
      <w:r>
        <w:rPr>
          <w:rFonts w:cs="Arial" w:ascii="Arial" w:hAnsi="Arial"/>
          <w:sz w:val="18"/>
        </w:rPr>
        <w:t>Responsibilities:</w:t>
        <w:tab/>
        <w:t>WTI Trading</w:t>
        <w:tab/>
        <w:t>Greg Whalley</w:t>
      </w:r>
    </w:p>
    <w:p>
      <w:pPr>
        <w:pStyle w:val="Header"/>
        <w:tabs>
          <w:tab w:val="clear" w:pos="4320"/>
          <w:tab w:val="clear" w:pos="8640"/>
          <w:tab w:val="clear" w:pos="9000"/>
          <w:tab w:val="left" w:pos="5040" w:leader="none"/>
          <w:tab w:val="left" w:pos="5760" w:leader="none"/>
        </w:tabs>
        <w:ind w:hanging="2700" w:start="2700" w:end="0"/>
        <w:rPr>
          <w:rFonts w:ascii="Arial" w:hAnsi="Arial" w:cs="Arial"/>
          <w:sz w:val="18"/>
        </w:rPr>
      </w:pPr>
      <w:r>
        <w:rPr>
          <w:rFonts w:cs="Arial" w:ascii="Arial" w:hAnsi="Arial"/>
          <w:sz w:val="18"/>
        </w:rPr>
        <w:tab/>
        <w:t>Trading Operations:</w:t>
        <w:tab/>
        <w:t>Jan-Erland Bekeng, Brent Price</w:t>
      </w:r>
    </w:p>
    <w:p>
      <w:pPr>
        <w:pStyle w:val="Normal"/>
        <w:tabs>
          <w:tab w:val="clear" w:pos="720"/>
          <w:tab w:val="left" w:pos="5040" w:leader="none"/>
          <w:tab w:val="left" w:pos="5760" w:leader="none"/>
        </w:tabs>
        <w:spacing w:before="0" w:after="0"/>
        <w:ind w:hanging="2700" w:start="2700" w:end="0"/>
        <w:rPr>
          <w:rFonts w:ascii="Arial" w:hAnsi="Arial" w:cs="Arial"/>
          <w:sz w:val="18"/>
        </w:rPr>
      </w:pPr>
      <w:r>
        <w:rPr>
          <w:rFonts w:cs="Arial" w:ascii="Arial" w:hAnsi="Arial"/>
          <w:sz w:val="18"/>
        </w:rPr>
        <w:tab/>
        <w:t>Legal</w:t>
        <w:tab/>
        <w:t>Jane McBride</w:t>
      </w:r>
    </w:p>
    <w:p>
      <w:pPr>
        <w:pStyle w:val="Normal"/>
        <w:tabs>
          <w:tab w:val="clear" w:pos="720"/>
          <w:tab w:val="left" w:pos="5040" w:leader="none"/>
          <w:tab w:val="left" w:pos="5760" w:leader="none"/>
        </w:tabs>
        <w:spacing w:before="0" w:after="0"/>
        <w:ind w:hanging="2700" w:start="2700" w:end="0"/>
        <w:rPr>
          <w:rFonts w:ascii="Arial" w:hAnsi="Arial" w:cs="Arial"/>
          <w:sz w:val="18"/>
        </w:rPr>
      </w:pPr>
      <w:r>
        <w:rPr>
          <w:rFonts w:cs="Arial" w:ascii="Arial" w:hAnsi="Arial"/>
          <w:sz w:val="18"/>
        </w:rPr>
        <w:tab/>
        <w:t>Credit</w:t>
        <w:tab/>
        <w:t>John Suttle</w:t>
      </w:r>
    </w:p>
    <w:p>
      <w:pPr>
        <w:pStyle w:val="Normal"/>
        <w:tabs>
          <w:tab w:val="clear" w:pos="720"/>
          <w:tab w:val="left" w:pos="2700" w:leader="none"/>
          <w:tab w:val="left" w:pos="5040" w:leader="none"/>
        </w:tabs>
        <w:spacing w:before="0" w:after="0"/>
        <w:ind w:firstLine="720" w:start="1440" w:end="0"/>
        <w:rPr>
          <w:rFonts w:ascii="Arial" w:hAnsi="Arial" w:cs="Arial"/>
          <w:sz w:val="18"/>
        </w:rPr>
      </w:pPr>
      <w:r>
        <w:rPr>
          <w:rFonts w:cs="Arial" w:ascii="Arial" w:hAnsi="Arial"/>
          <w:sz w:val="18"/>
        </w:rPr>
        <w:tab/>
        <w:t>Tax</w:t>
        <w:tab/>
        <w:t>Susan Musch</w:t>
        <w:tab/>
      </w:r>
    </w:p>
    <w:p>
      <w:pPr>
        <w:pStyle w:val="Normal"/>
        <w:tabs>
          <w:tab w:val="clear" w:pos="720"/>
          <w:tab w:val="left" w:pos="2700" w:leader="none"/>
          <w:tab w:val="left" w:pos="5040" w:leader="none"/>
        </w:tabs>
        <w:spacing w:before="0" w:after="0"/>
        <w:ind w:firstLine="720" w:start="1440" w:end="0"/>
        <w:rPr>
          <w:rFonts w:ascii="Arial" w:hAnsi="Arial" w:cs="Arial"/>
          <w:i/>
          <w:i/>
          <w:iCs/>
          <w:sz w:val="18"/>
        </w:rPr>
      </w:pPr>
      <w:r>
        <w:rPr>
          <w:rFonts w:cs="Arial" w:ascii="Arial" w:hAnsi="Arial"/>
          <w:sz w:val="18"/>
        </w:rPr>
        <w:tab/>
        <w:t>FX</w:t>
        <w:tab/>
        <w:t>Shane Dallmann</w:t>
      </w:r>
      <w:r>
        <w:br w:type="page"/>
      </w:r>
    </w:p>
    <w:p>
      <w:pPr>
        <w:pStyle w:val="Normal"/>
        <w:spacing w:before="0" w:after="0"/>
        <w:ind w:hanging="2880" w:start="2880" w:end="0"/>
        <w:rPr>
          <w:rFonts w:ascii="Arial" w:hAnsi="Arial" w:cs="Arial"/>
          <w:sz w:val="18"/>
        </w:rPr>
      </w:pPr>
      <w:r>
        <w:rPr>
          <w:rFonts w:cs="Arial" w:ascii="Arial" w:hAnsi="Arial"/>
          <w:sz w:val="18"/>
        </w:rPr>
        <w:t>Target Market:</w:t>
        <w:tab/>
        <w:t>Japan as the second largest crude oil importing nation (4.3 million bpd) and one of the largest consumers of petroleum products worldwide (1.0 million bpd of gasoline and 0.5 million bpd of kerosene), represents an natural extension of Enron’s crude and products franchise.</w:t>
        <w:br/>
        <w:br/>
        <w:t xml:space="preserve">The market today is concentrated around five companies at the crude import and refining level while the domestic wholesale and distribution business is fragmented by multiple layers of intermediaries. </w:t>
        <w:br/>
        <w:br/>
        <w:t xml:space="preserve">A history of price risk protection does not exist as refiners pass import price fluctuations through to domestic customers who were historically able to compensate these with sufficient margin buffers. Since the petroleum market liberalized in 1996, competition at the retail level gradually increased. The decreasing intermediary margins and consequently growing volatility of supplier revenues and customer prices lead to the emergence of risk management products demand. </w:t>
        <w:br/>
        <w:br/>
        <w:t>NYMEX WTI is seen as a potent means to satisfy this need as there is more than a 70% correlation to domestic product prices and its ACCESS trading system represents the only liquid exchange traded market for crude oil during Japan business hours. However, the foreign exchange risk combined with the unfamiliar trading unit (barrels, Japan trades in kiloliters) and the limited access to the system represent high barriers for the Japanese domestic market.</w:t>
        <w:br/>
        <w:br/>
        <w:t>The crude contract launched on TOCOM in September this year is not seen as an alternative due to the unproven link to the physical market. This evaluation may change over time as more trading history is accumulated.</w:t>
        <w:br/>
        <w:br/>
        <w:t xml:space="preserve">Enron could provide the market with a risk product that overcomes the current obstacle of the market by applying its internal foreign exchange capabilities to its existing NYMEX WTI products. </w:t>
        <w:br/>
        <w:br/>
        <w:t>Enron would expect to enter into financial trades with a wide range of counterparties. These counterparties would include wholesale traders, product retailers, industry companies with product needs and self-generating companies. Other “financial” market participants are also expected to participate in the market including investment banks, trading houses and product brokers.</w:t>
        <w:br/>
        <w:t xml:space="preserve"> </w:t>
        <w:br/>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pPr>
      <w:r>
        <w:rPr>
          <w:rFonts w:cs="Arial" w:ascii="Arial" w:hAnsi="Arial"/>
          <w:sz w:val="18"/>
        </w:rPr>
        <w:t>Product Description:</w:t>
        <w:tab/>
        <w:t>(1) NYMEX WTI Swap linked to the settlement price of the front month contract at the last trading day of the front month contract nominated in Japanese Yen per kiloliter;</w:t>
        <w:br/>
        <w:t xml:space="preserve">EOL product name: </w:t>
      </w:r>
      <w:r>
        <w:rPr>
          <w:rFonts w:cs="Arial" w:ascii="Arial" w:hAnsi="Arial"/>
          <w:i/>
          <w:iCs/>
          <w:sz w:val="18"/>
        </w:rPr>
        <w:t>US WTI Swap  NYMEX LD  [month]01 JPY/kl/m</w:t>
        <w:br/>
      </w:r>
      <w:r>
        <w:rPr>
          <w:rFonts w:cs="Arial" w:ascii="Arial" w:hAnsi="Arial"/>
          <w:sz w:val="18"/>
        </w:rPr>
        <w:br/>
        <w:t>(2) NYMEX WTI Swap linked to the settlement price of the front month contract at the penultimate trading day of the front month contract nominated in Japanese Yen per kiloliter;</w:t>
        <w:br/>
        <w:t xml:space="preserve">EOL product name: </w:t>
      </w:r>
      <w:r>
        <w:rPr>
          <w:rFonts w:cs="Arial" w:ascii="Arial" w:hAnsi="Arial"/>
          <w:i/>
          <w:iCs/>
          <w:sz w:val="18"/>
        </w:rPr>
        <w:t>US WTI Swap  NYMEX PEN  [month]01 JPY/kl/m</w:t>
        <w:br/>
      </w:r>
      <w:r>
        <w:rPr>
          <w:rFonts w:cs="Arial" w:ascii="Arial" w:hAnsi="Arial"/>
          <w:sz w:val="18"/>
        </w:rPr>
        <w:br/>
        <w:t>A US Crude financial Swap Transaction with Enron North America Corp., under which the Seller pays a Floating Price and the Buyer pays the price submitted by the Counterparty on the website (the Fixed Price) in each case in respect of the Notional Quantity per Determination Period.  Each calendar month during the term of the Transaction will be a Determination Period.  The Notional Quantity shall be the volume for the relevant Determination Period (calculated using the volume submitted by Counterparty via EnronOnline). The Payment Date(s) will be 2 business days after the Floating Price is determinable. The Floating Price shall be the index for the relevant Determination Period. The term of the Transaction shall correspond to the date(s) set forth in the Product description on the Website. The Index shall be the settlement price for the (1) last [(2) penultimate] scheduled Trading Day (1) (LD) [(2) PEN] of the NYMEX West Texas Intermediate Light, Sweet, Crude Oil Futures Contract for the applicable Determination Period multiplied by 6.2893 and converted into Japanese JPY at the TTM Rate published by the Bank of Tokyo-Mitsubishi between 10 am and 11 am Tokyo local time 3 business days after the (1) last [(2) penultimate] scheduled Trading Day of the NYMEX West Texas Intermediate Light, Sweet, Crude Oil Futures Contract for the applicable Determination Period. The price is quoted in JPY per unit of volume, which will be the Contractual Currency. The unit of measure against which the price is quoted shall be kiloliters and the quantity shown shall be in kiloliters per month.</w:t>
        <w:br/>
        <w:br/>
        <w:t xml:space="preserve">These products are based on the existing NYMEX WTI Swap contracts trading on EOL in USD per barrel units. They vary from the basis product in contract currency (JPY) and volume unit (kiloliters). </w:t>
        <w:br/>
      </w:r>
    </w:p>
    <w:p>
      <w:pPr>
        <w:pStyle w:val="Normal"/>
        <w:spacing w:before="0" w:after="0"/>
        <w:ind w:hanging="2880" w:start="2880" w:end="0"/>
        <w:rPr>
          <w:rFonts w:ascii="Arial" w:hAnsi="Arial" w:cs="Arial"/>
          <w:i/>
          <w:i/>
          <w:iCs/>
          <w:sz w:val="18"/>
        </w:rPr>
      </w:pPr>
      <w:r>
        <mc:AlternateContent>
          <mc:Choice Requires="wpg">
            <w:drawing>
              <wp:anchor behindDoc="0" distT="0" distB="0" distL="114935" distR="114935" simplePos="0" locked="0" layoutInCell="1" allowOverlap="1" relativeHeight="5">
                <wp:simplePos x="0" y="0"/>
                <wp:positionH relativeFrom="column">
                  <wp:posOffset>1829435</wp:posOffset>
                </wp:positionH>
                <wp:positionV relativeFrom="paragraph">
                  <wp:posOffset>-62865</wp:posOffset>
                </wp:positionV>
                <wp:extent cx="3223260" cy="2082165"/>
                <wp:effectExtent l="5080" t="0" r="5080" b="0"/>
                <wp:wrapNone/>
                <wp:docPr id="2" name=""/>
                <a:graphic xmlns:a="http://schemas.openxmlformats.org/drawingml/2006/main">
                  <a:graphicData uri="http://schemas.microsoft.com/office/word/2010/wordprocessingGroup">
                    <wpg:wgp>
                      <wpg:cNvGrpSpPr/>
                      <wpg:grpSpPr>
                        <a:xfrm>
                          <a:off x="0" y="0"/>
                          <a:ext cx="3223440" cy="2082240"/>
                          <a:chOff x="0" y="0"/>
                          <a:chExt cx="3223440" cy="2082240"/>
                        </a:xfrm>
                      </wpg:grpSpPr>
                      <wps:wsp>
                        <wps:cNvSpPr txBox="1"/>
                        <wps:spPr>
                          <a:xfrm>
                            <a:off x="0" y="213480"/>
                            <a:ext cx="444960" cy="1252800"/>
                          </a:xfrm>
                          <a:prstGeom prst="rect">
                            <a:avLst/>
                          </a:prstGeom>
                          <a:solidFill>
                            <a:srgbClr val="ffffff"/>
                          </a:solidFill>
                          <a:ln w="9360">
                            <a:solidFill>
                              <a:srgbClr val="000000"/>
                            </a:solidFill>
                            <a:miter/>
                          </a:ln>
                        </wps:spPr>
                        <wps:txbx>
                          <w:txbxContent>
                            <w:p>
                              <w:pPr>
                                <w:overflowPunct w:val="false"/>
                                <w:autoSpaceDE w:val="false"/>
                                <w:bidi w:val="0"/>
                                <w:spacing w:before="60" w:after="60"/>
                                <w:jc w:val="center"/>
                                <w:rPr/>
                              </w:pPr>
                              <w:r>
                                <w:rPr>
                                  <w:kern w:val="2"/>
                                  <w:sz w:val="24"/>
                                  <w:szCs w:val="24"/>
                                  <w:rFonts w:cs="NotoSans NF" w:eastAsia="Liberation Sans" w:ascii="Liberation Serif" w:hAnsi="Liberation Serif"/>
                                  <w:lang w:bidi="hi-IN" w:val="en-CA"/>
                                </w:rPr>
                              </w:r>
                            </w:p>
                            <w:p>
                              <w:pPr>
                                <w:overflowPunct w:val="false"/>
                                <w:autoSpaceDE w:val="false"/>
                                <w:bidi w:val="0"/>
                                <w:spacing w:before="60" w:after="60"/>
                                <w:jc w:val="center"/>
                                <w:rPr/>
                              </w:pPr>
                              <w:r>
                                <w:rPr>
                                  <w:szCs w:val="24"/>
                                  <w:sz w:val="24"/>
                                  <w:kern w:val="2"/>
                                  <w:rFonts w:ascii="Liberation Serif" w:hAnsi="Liberation Serif" w:eastAsia="Liberation Sans" w:cs="NotoSans NF"/>
                                  <w:lang w:val="en-CA" w:bidi="hi-IN"/>
                                </w:rPr>
                              </w:r>
                            </w:p>
                            <w:p>
                              <w:pPr>
                                <w:overflowPunct w:val="false"/>
                                <w:autoSpaceDE w:val="false"/>
                                <w:bidi w:val="0"/>
                                <w:spacing w:before="60" w:after="60"/>
                                <w:jc w:val="center"/>
                                <w:rPr/>
                              </w:pPr>
                              <w:r>
                                <w:rPr>
                                  <w:kern w:val="2"/>
                                  <w:sz w:val="20"/>
                                  <w:b/>
                                  <w:szCs w:val="20"/>
                                  <w:rFonts w:ascii="Arial" w:hAnsi="Arial" w:eastAsia="Times New Roman" w:cs="Arial"/>
                                  <w:color w:val="000000"/>
                                  <w:lang w:val="en-US" w:bidi="ar-SA"/>
                                </w:rPr>
                                <w:t>EOL</w:t>
                              </w:r>
                            </w:p>
                          </w:txbxContent>
                        </wps:txbx>
                        <wps:bodyPr wrap="square" anchor="ctr">
                          <a:noAutofit/>
                        </wps:bodyPr>
                      </wps:wsp>
                      <wps:wsp>
                        <wps:cNvSpPr txBox="1"/>
                        <wps:spPr>
                          <a:xfrm>
                            <a:off x="612000" y="0"/>
                            <a:ext cx="891000" cy="417240"/>
                          </a:xfrm>
                          <a:prstGeom prst="rect">
                            <a:avLst/>
                          </a:prstGeom>
                          <a:noFill/>
                          <a:ln w="0">
                            <a:noFill/>
                          </a:ln>
                        </wps:spPr>
                        <wps:txbx>
                          <w:txbxContent>
                            <w:p>
                              <w:pPr>
                                <w:overflowPunct w:val="false"/>
                                <w:autoSpaceDE w:val="false"/>
                                <w:bidi w:val="0"/>
                                <w:spacing w:before="60" w:after="60"/>
                                <w:jc w:val="center"/>
                                <w:rPr/>
                              </w:pPr>
                              <w:r>
                                <w:rPr>
                                  <w:kern w:val="2"/>
                                  <w:sz w:val="16"/>
                                  <w:szCs w:val="20"/>
                                  <w:rFonts w:ascii="Arial" w:hAnsi="Arial" w:eastAsia="Times New Roman" w:cs="Arial"/>
                                  <w:color w:val="000000"/>
                                  <w:lang w:val="en-US" w:bidi="ar-SA"/>
                                </w:rPr>
                                <w:t>USD/bbl/m quote</w:t>
                              </w:r>
                            </w:p>
                          </w:txbxContent>
                        </wps:txbx>
                        <wps:bodyPr wrap="square" anchor="t">
                          <a:noAutofit/>
                        </wps:bodyPr>
                      </wps:wsp>
                      <wps:wsp>
                        <wps:cNvSpPr txBox="1"/>
                        <wps:spPr>
                          <a:xfrm>
                            <a:off x="1413360" y="184680"/>
                            <a:ext cx="1809720" cy="1261080"/>
                          </a:xfrm>
                          <a:prstGeom prst="rect">
                            <a:avLst/>
                          </a:prstGeom>
                          <a:solidFill>
                            <a:srgbClr val="ffffff"/>
                          </a:solidFill>
                          <a:ln w="9360">
                            <a:solidFill>
                              <a:srgbClr val="000000"/>
                            </a:solidFill>
                            <a:miter/>
                          </a:ln>
                        </wps:spPr>
                        <wps:txbx>
                          <w:txbxContent>
                            <w:p>
                              <w:pPr>
                                <w:overflowPunct w:val="false"/>
                                <w:autoSpaceDE w:val="false"/>
                                <w:bidi w:val="0"/>
                                <w:spacing w:before="60" w:after="60"/>
                                <w:jc w:val="center"/>
                                <w:rPr/>
                              </w:pPr>
                              <w:r>
                                <w:rPr>
                                  <w:kern w:val="2"/>
                                  <w:sz w:val="16"/>
                                  <w:b/>
                                  <w:szCs w:val="20"/>
                                  <w:rFonts w:ascii="Arial" w:hAnsi="Arial" w:eastAsia="Times New Roman" w:cs="Arial"/>
                                  <w:color w:val="000000"/>
                                  <w:lang w:val="en-US" w:bidi="ar-SA"/>
                                </w:rPr>
                                <w:t>JPY/kl</w:t>
                              </w:r>
                            </w:p>
                            <w:p>
                              <w:pPr>
                                <w:overflowPunct w:val="false"/>
                                <w:autoSpaceDE w:val="false"/>
                                <w:bidi w:val="0"/>
                                <w:spacing w:before="60" w:after="60"/>
                                <w:jc w:val="center"/>
                                <w:rPr/>
                              </w:pPr>
                              <w:r>
                                <w:rPr>
                                  <w:kern w:val="2"/>
                                  <w:sz w:val="16"/>
                                  <w:b/>
                                  <w:szCs w:val="20"/>
                                  <w:rFonts w:ascii="Arial" w:hAnsi="Arial" w:eastAsia="Times New Roman" w:cs="Arial"/>
                                  <w:color w:val="000000"/>
                                  <w:lang w:val="en-US" w:bidi="ar-SA"/>
                                </w:rPr>
                                <w:t xml:space="preserve"> Conversion Algorithm</w:t>
                              </w:r>
                            </w:p>
                            <w:p>
                              <w:pPr>
                                <w:tabs>
                                  <w:tab w:val="left" w:pos="1170" w:leader="none"/>
                                </w:tabs>
                                <w:overflowPunct w:val="false"/>
                                <w:autoSpaceDE w:val="false"/>
                                <w:bidi w:val="0"/>
                                <w:spacing w:before="60" w:after="60"/>
                                <w:rPr/>
                              </w:pPr>
                              <w:r>
                                <w:rPr>
                                  <w:szCs w:val="24"/>
                                  <w:sz w:val="24"/>
                                  <w:kern w:val="2"/>
                                  <w:rFonts w:ascii="Liberation Serif" w:hAnsi="Liberation Serif" w:eastAsia="Liberation Sans" w:cs="NotoSans NF"/>
                                  <w:lang w:val="en-CA" w:bidi="hi-IN"/>
                                </w:rPr>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bbl/m into kl/m</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USD into JPY</w:t>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conversion</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conversion</w:t>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at</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at</w:t>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fixed rate</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 xml:space="preserve">real time </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quote</w:t>
                              </w:r>
                            </w:p>
                          </w:txbxContent>
                        </wps:txbx>
                        <wps:bodyPr wrap="square" anchor="t">
                          <a:noAutofit/>
                        </wps:bodyPr>
                      </wps:wsp>
                      <wps:wsp>
                        <wps:cNvSpPr/>
                        <wps:spPr>
                          <a:xfrm flipV="1">
                            <a:off x="2973600" y="1467000"/>
                            <a:ext cx="0" cy="556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129040" y="1494720"/>
                            <a:ext cx="876960" cy="587520"/>
                          </a:xfrm>
                          <a:prstGeom prst="rect">
                            <a:avLst/>
                          </a:prstGeom>
                          <a:noFill/>
                          <a:ln w="0">
                            <a:noFill/>
                          </a:ln>
                        </wps:spPr>
                        <wps:txbx>
                          <w:txbxContent>
                            <w:p>
                              <w:pPr>
                                <w:overflowPunct w:val="false"/>
                                <w:autoSpaceDE w:val="false"/>
                                <w:bidi w:val="0"/>
                                <w:spacing w:before="60" w:after="60"/>
                                <w:jc w:val="end"/>
                                <w:rPr/>
                              </w:pPr>
                              <w:r>
                                <w:rPr>
                                  <w:kern w:val="2"/>
                                  <w:sz w:val="16"/>
                                  <w:szCs w:val="20"/>
                                  <w:rFonts w:ascii="Arial" w:hAnsi="Arial" w:eastAsia="Times New Roman" w:cs="Arial"/>
                                  <w:color w:val="000000"/>
                                  <w:lang w:val="en-US" w:bidi="ar-SA"/>
                                </w:rPr>
                                <w:t>Real time JPY/USD two way quotes from Reuters</w:t>
                              </w:r>
                            </w:p>
                          </w:txbxContent>
                        </wps:txbx>
                        <wps:bodyPr wrap="square" anchor="t">
                          <a:noAutofit/>
                        </wps:bodyPr>
                      </wps:wsp>
                      <wps:wsp>
                        <wps:cNvSpPr/>
                        <wps:spPr>
                          <a:xfrm flipH="1">
                            <a:off x="835200" y="496440"/>
                            <a:ext cx="5392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654120" y="492120"/>
                            <a:ext cx="868680" cy="363960"/>
                          </a:xfrm>
                          <a:prstGeom prst="rect">
                            <a:avLst/>
                          </a:prstGeom>
                          <a:noFill/>
                          <a:ln w="0">
                            <a:noFill/>
                          </a:ln>
                        </wps:spPr>
                        <wps:txbx>
                          <w:txbxContent>
                            <w:p>
                              <w:pPr>
                                <w:overflowPunct w:val="false"/>
                                <w:autoSpaceDE w:val="false"/>
                                <w:bidi w:val="0"/>
                                <w:spacing w:before="60" w:after="60"/>
                                <w:jc w:val="center"/>
                                <w:rPr/>
                              </w:pPr>
                              <w:r>
                                <w:rPr>
                                  <w:kern w:val="2"/>
                                  <w:sz w:val="16"/>
                                  <w:szCs w:val="20"/>
                                  <w:rFonts w:ascii="Arial" w:hAnsi="Arial" w:eastAsia="Times New Roman" w:cs="Arial"/>
                                  <w:color w:val="000000"/>
                                  <w:lang w:val="en-US" w:bidi="ar-SA"/>
                                </w:rPr>
                                <w:t xml:space="preserve">JPY/kl/m </w:t>
                              </w:r>
                            </w:p>
                            <w:p>
                              <w:pPr>
                                <w:overflowPunct w:val="false"/>
                                <w:autoSpaceDE w:val="false"/>
                                <w:bidi w:val="0"/>
                                <w:spacing w:before="60" w:after="60"/>
                                <w:jc w:val="center"/>
                                <w:rPr/>
                              </w:pPr>
                              <w:r>
                                <w:rPr>
                                  <w:kern w:val="2"/>
                                  <w:sz w:val="16"/>
                                  <w:szCs w:val="20"/>
                                  <w:rFonts w:ascii="Arial" w:hAnsi="Arial" w:eastAsia="Times New Roman" w:cs="Arial"/>
                                  <w:color w:val="000000"/>
                                  <w:lang w:val="en-US" w:bidi="ar-SA"/>
                                </w:rPr>
                                <w:t>quote</w:t>
                              </w:r>
                            </w:p>
                          </w:txbxContent>
                        </wps:txbx>
                        <wps:bodyPr wrap="square" anchor="t">
                          <a:noAutofit/>
                        </wps:bodyPr>
                      </wps:wsp>
                      <wps:wsp>
                        <wps:cNvSpPr/>
                        <wps:spPr>
                          <a:xfrm>
                            <a:off x="835560" y="353160"/>
                            <a:ext cx="539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283480" y="525240"/>
                            <a:ext cx="0" cy="9162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44.05pt;margin-top:-4.95pt;width:253.8pt;height:163.95pt" coordorigin="2881,-99" coordsize="5076,3279">
                <v:shapetype id="_x0000_t202" coordsize="21600,21600" o:spt="202" path="m,l,21600l21600,21600l21600,xe">
                  <v:stroke joinstyle="miter"/>
                  <v:path gradientshapeok="t" o:connecttype="rect"/>
                </v:shapetype>
                <v:shape id="shape_0" fillcolor="white" stroked="t" o:allowincell="f" style="position:absolute;left:2881;top:237;width:700;height:1972;mso-wrap-style:none;v-text-anchor:middle" type="_x0000_t202">
                  <v:textbox>
                    <w:txbxContent>
                      <w:p>
                        <w:pPr>
                          <w:overflowPunct w:val="false"/>
                          <w:autoSpaceDE w:val="false"/>
                          <w:bidi w:val="0"/>
                          <w:spacing w:before="60" w:after="60"/>
                          <w:jc w:val="center"/>
                          <w:rPr/>
                        </w:pPr>
                        <w:r>
                          <w:rPr>
                            <w:kern w:val="2"/>
                            <w:sz w:val="24"/>
                            <w:szCs w:val="24"/>
                            <w:rFonts w:cs="NotoSans NF" w:eastAsia="Liberation Sans" w:ascii="Liberation Serif" w:hAnsi="Liberation Serif"/>
                            <w:lang w:bidi="hi-IN" w:val="en-CA"/>
                          </w:rPr>
                        </w:r>
                      </w:p>
                      <w:p>
                        <w:pPr>
                          <w:overflowPunct w:val="false"/>
                          <w:autoSpaceDE w:val="false"/>
                          <w:bidi w:val="0"/>
                          <w:spacing w:before="60" w:after="60"/>
                          <w:jc w:val="center"/>
                          <w:rPr/>
                        </w:pPr>
                        <w:r>
                          <w:rPr>
                            <w:szCs w:val="24"/>
                            <w:sz w:val="24"/>
                            <w:kern w:val="2"/>
                            <w:rFonts w:ascii="Liberation Serif" w:hAnsi="Liberation Serif" w:eastAsia="Liberation Sans" w:cs="NotoSans NF"/>
                            <w:lang w:val="en-CA" w:bidi="hi-IN"/>
                          </w:rPr>
                        </w:r>
                      </w:p>
                      <w:p>
                        <w:pPr>
                          <w:overflowPunct w:val="false"/>
                          <w:autoSpaceDE w:val="false"/>
                          <w:bidi w:val="0"/>
                          <w:spacing w:before="60" w:after="60"/>
                          <w:jc w:val="center"/>
                          <w:rPr/>
                        </w:pPr>
                        <w:r>
                          <w:rPr>
                            <w:kern w:val="2"/>
                            <w:sz w:val="20"/>
                            <w:b/>
                            <w:szCs w:val="20"/>
                            <w:rFonts w:ascii="Arial" w:hAnsi="Arial" w:eastAsia="Times New Roman" w:cs="Arial"/>
                            <w:color w:val="000000"/>
                            <w:lang w:val="en-US" w:bidi="ar-SA"/>
                          </w:rPr>
                          <w:t>EOL</w:t>
                        </w:r>
                      </w:p>
                    </w:txbxContent>
                  </v:textbox>
                  <v:fill o:detectmouseclick="t" type="solid" color2="black"/>
                  <v:stroke color="black" weight="9360" joinstyle="miter" endcap="flat"/>
                  <w10:wrap type="none"/>
                </v:shape>
                <v:shape id="shape_0" stroked="f" o:allowincell="f" style="position:absolute;left:3845;top:-99;width:1402;height:656;mso-wrap-style:square;v-text-anchor:top" type="_x0000_t202">
                  <v:textbox>
                    <w:txbxContent>
                      <w:p>
                        <w:pPr>
                          <w:overflowPunct w:val="false"/>
                          <w:autoSpaceDE w:val="false"/>
                          <w:bidi w:val="0"/>
                          <w:spacing w:before="60" w:after="60"/>
                          <w:jc w:val="center"/>
                          <w:rPr/>
                        </w:pPr>
                        <w:r>
                          <w:rPr>
                            <w:kern w:val="2"/>
                            <w:sz w:val="16"/>
                            <w:szCs w:val="20"/>
                            <w:rFonts w:ascii="Arial" w:hAnsi="Arial" w:eastAsia="Times New Roman" w:cs="Arial"/>
                            <w:color w:val="000000"/>
                            <w:lang w:val="en-US" w:bidi="ar-SA"/>
                          </w:rPr>
                          <w:t>USD/bbl/m quote</w:t>
                        </w:r>
                      </w:p>
                    </w:txbxContent>
                  </v:textbox>
                  <v:fill o:detectmouseclick="t" on="false"/>
                  <v:stroke color="#3465a4" joinstyle="round" endcap="flat"/>
                  <w10:wrap type="none"/>
                </v:shape>
                <v:shape id="shape_0" fillcolor="white" stroked="t" o:allowincell="f" style="position:absolute;left:5107;top:192;width:2849;height:1985;mso-wrap-style:none;v-text-anchor:top" type="_x0000_t202">
                  <v:textbox>
                    <w:txbxContent>
                      <w:p>
                        <w:pPr>
                          <w:overflowPunct w:val="false"/>
                          <w:autoSpaceDE w:val="false"/>
                          <w:bidi w:val="0"/>
                          <w:spacing w:before="60" w:after="60"/>
                          <w:jc w:val="center"/>
                          <w:rPr/>
                        </w:pPr>
                        <w:r>
                          <w:rPr>
                            <w:kern w:val="2"/>
                            <w:sz w:val="16"/>
                            <w:b/>
                            <w:szCs w:val="20"/>
                            <w:rFonts w:ascii="Arial" w:hAnsi="Arial" w:eastAsia="Times New Roman" w:cs="Arial"/>
                            <w:color w:val="000000"/>
                            <w:lang w:val="en-US" w:bidi="ar-SA"/>
                          </w:rPr>
                          <w:t>JPY/kl</w:t>
                        </w:r>
                      </w:p>
                      <w:p>
                        <w:pPr>
                          <w:overflowPunct w:val="false"/>
                          <w:autoSpaceDE w:val="false"/>
                          <w:bidi w:val="0"/>
                          <w:spacing w:before="60" w:after="60"/>
                          <w:jc w:val="center"/>
                          <w:rPr/>
                        </w:pPr>
                        <w:r>
                          <w:rPr>
                            <w:kern w:val="2"/>
                            <w:sz w:val="16"/>
                            <w:b/>
                            <w:szCs w:val="20"/>
                            <w:rFonts w:ascii="Arial" w:hAnsi="Arial" w:eastAsia="Times New Roman" w:cs="Arial"/>
                            <w:color w:val="000000"/>
                            <w:lang w:val="en-US" w:bidi="ar-SA"/>
                          </w:rPr>
                          <w:t xml:space="preserve"> Conversion Algorithm</w:t>
                        </w:r>
                      </w:p>
                      <w:p>
                        <w:pPr>
                          <w:tabs>
                            <w:tab w:val="left" w:pos="1170" w:leader="none"/>
                          </w:tabs>
                          <w:overflowPunct w:val="false"/>
                          <w:autoSpaceDE w:val="false"/>
                          <w:bidi w:val="0"/>
                          <w:spacing w:before="60" w:after="60"/>
                          <w:rPr/>
                        </w:pPr>
                        <w:r>
                          <w:rPr>
                            <w:szCs w:val="24"/>
                            <w:sz w:val="24"/>
                            <w:kern w:val="2"/>
                            <w:rFonts w:ascii="Liberation Serif" w:hAnsi="Liberation Serif" w:eastAsia="Liberation Sans" w:cs="NotoSans NF"/>
                            <w:lang w:val="en-CA" w:bidi="hi-IN"/>
                          </w:rPr>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bbl/m into kl/m</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USD into JPY</w:t>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conversion</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conversion</w:t>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at</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at</w:t>
                        </w:r>
                      </w:p>
                      <w:p>
                        <w:pPr>
                          <w:tabs>
                            <w:tab w:val="left" w:pos="1170" w:leader="none"/>
                            <w:tab w:val="left" w:pos="1350" w:leader="none"/>
                          </w:tabs>
                          <w:overflowPunct w:val="false"/>
                          <w:autoSpaceDE w:val="false"/>
                          <w:bidi w:val="0"/>
                          <w:spacing w:before="60" w:after="60"/>
                          <w:rPr/>
                        </w:pPr>
                        <w:r>
                          <w:rPr>
                            <w:kern w:val="2"/>
                            <w:sz w:val="16"/>
                            <w:szCs w:val="20"/>
                            <w:rFonts w:ascii="Arial" w:hAnsi="Arial" w:eastAsia="Times New Roman" w:cs="Arial"/>
                            <w:color w:val="000000"/>
                            <w:lang w:val="en-US" w:bidi="ar-SA"/>
                          </w:rPr>
                          <w:t>fixed rate</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 xml:space="preserve">real time </w:t>
                        </w:r>
                        <w:r>
                          <w:rPr>
                            <w:kern w:val="2"/>
                            <w:sz w:val="16"/>
                            <w:szCs w:val="20"/>
                            <w:rFonts w:ascii="Arial" w:hAnsi="Arial" w:eastAsia="Times New Roman" w:cs="Arial"/>
                            <w:color w:val="000000"/>
                            <w:lang w:val="en-US" w:bidi="ar-SA"/>
                          </w:rPr>
                        </w:r>
                        <w:r>
                          <w:rPr>
                            <w:kern w:val="2"/>
                            <w:sz w:val="16"/>
                            <w:szCs w:val="20"/>
                            <w:rFonts w:ascii="Arial" w:hAnsi="Arial" w:eastAsia="Times New Roman" w:cs="Arial"/>
                            <w:color w:val="000000"/>
                            <w:lang w:val="en-US" w:bidi="ar-SA"/>
                          </w:rPr>
                          <w:t>quote</w:t>
                        </w:r>
                      </w:p>
                    </w:txbxContent>
                  </v:textbox>
                  <v:fill o:detectmouseclick="t" type="solid" color2="black"/>
                  <v:stroke color="black" weight="9360" joinstyle="miter" endcap="flat"/>
                  <w10:wrap type="none"/>
                </v:shape>
                <v:line id="shape_0" from="7564,2211" to="7564,3086"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6234;top:2255;width:1380;height:924;mso-wrap-style:square;v-text-anchor:top" type="_x0000_t202">
                  <v:textbox>
                    <w:txbxContent>
                      <w:p>
                        <w:pPr>
                          <w:overflowPunct w:val="false"/>
                          <w:autoSpaceDE w:val="false"/>
                          <w:bidi w:val="0"/>
                          <w:spacing w:before="60" w:after="60"/>
                          <w:jc w:val="end"/>
                          <w:rPr/>
                        </w:pPr>
                        <w:r>
                          <w:rPr>
                            <w:kern w:val="2"/>
                            <w:sz w:val="16"/>
                            <w:szCs w:val="20"/>
                            <w:rFonts w:ascii="Arial" w:hAnsi="Arial" w:eastAsia="Times New Roman" w:cs="Arial"/>
                            <w:color w:val="000000"/>
                            <w:lang w:val="en-US" w:bidi="ar-SA"/>
                          </w:rPr>
                          <w:t>Real time JPY/USD two way quotes from Reuters</w:t>
                        </w:r>
                      </w:p>
                    </w:txbxContent>
                  </v:textbox>
                  <v:fill o:detectmouseclick="t" on="false"/>
                  <v:stroke color="#3465a4" joinstyle="round" endcap="flat"/>
                  <w10:wrap type="none"/>
                </v:shape>
                <v:line id="shape_0" from="4196,683" to="5044,683" stroked="t" o:allowincell="f" style="position:absolute;flip:x">
                  <v:stroke color="black" weight="9360" endarrow="block" endarrowwidth="medium" endarrowlength="medium" joinstyle="miter" endcap="flat"/>
                  <v:fill o:detectmouseclick="t" on="false"/>
                  <w10:wrap type="none"/>
                </v:line>
                <v:shape id="shape_0" stroked="f" o:allowincell="f" style="position:absolute;left:3911;top:676;width:1367;height:572;mso-wrap-style:square;v-text-anchor:top" type="_x0000_t202">
                  <v:textbox>
                    <w:txbxContent>
                      <w:p>
                        <w:pPr>
                          <w:overflowPunct w:val="false"/>
                          <w:autoSpaceDE w:val="false"/>
                          <w:bidi w:val="0"/>
                          <w:spacing w:before="60" w:after="60"/>
                          <w:jc w:val="center"/>
                          <w:rPr/>
                        </w:pPr>
                        <w:r>
                          <w:rPr>
                            <w:kern w:val="2"/>
                            <w:sz w:val="16"/>
                            <w:szCs w:val="20"/>
                            <w:rFonts w:ascii="Arial" w:hAnsi="Arial" w:eastAsia="Times New Roman" w:cs="Arial"/>
                            <w:color w:val="000000"/>
                            <w:lang w:val="en-US" w:bidi="ar-SA"/>
                          </w:rPr>
                          <w:t xml:space="preserve">JPY/kl/m </w:t>
                        </w:r>
                      </w:p>
                      <w:p>
                        <w:pPr>
                          <w:overflowPunct w:val="false"/>
                          <w:autoSpaceDE w:val="false"/>
                          <w:bidi w:val="0"/>
                          <w:spacing w:before="60" w:after="60"/>
                          <w:jc w:val="center"/>
                          <w:rPr/>
                        </w:pPr>
                        <w:r>
                          <w:rPr>
                            <w:kern w:val="2"/>
                            <w:sz w:val="16"/>
                            <w:szCs w:val="20"/>
                            <w:rFonts w:ascii="Arial" w:hAnsi="Arial" w:eastAsia="Times New Roman" w:cs="Arial"/>
                            <w:color w:val="000000"/>
                            <w:lang w:val="en-US" w:bidi="ar-SA"/>
                          </w:rPr>
                          <w:t>quote</w:t>
                        </w:r>
                      </w:p>
                    </w:txbxContent>
                  </v:textbox>
                  <v:fill o:detectmouseclick="t" on="false"/>
                  <v:stroke color="#3465a4" joinstyle="round" endcap="flat"/>
                  <w10:wrap type="none"/>
                </v:shape>
                <v:line id="shape_0" from="4197,457" to="5045,457" stroked="t" o:allowincell="f" style="position:absolute">
                  <v:stroke color="black" weight="9360" endarrow="block" endarrowwidth="medium" endarrowlength="medium" joinstyle="miter" endcap="flat"/>
                  <v:fill o:detectmouseclick="t" on="false"/>
                  <w10:wrap type="none"/>
                </v:line>
                <v:line id="shape_0" from="6477,728" to="6477,2170" stroked="t" o:allowincell="f" style="position:absolute;flip:y">
                  <v:stroke color="black" weight="9360" joinstyle="miter" endcap="flat"/>
                  <v:fill o:detectmouseclick="t" on="false"/>
                  <w10:wrap type="none"/>
                </v:line>
              </v:group>
            </w:pict>
          </mc:Fallback>
        </mc:AlternateContent>
      </w:r>
      <w:r>
        <w:rPr>
          <w:rFonts w:cs="Arial" w:ascii="Arial" w:hAnsi="Arial"/>
          <w:i/>
          <w:iCs/>
          <w:sz w:val="18"/>
        </w:rPr>
        <w:br/>
        <w:br/>
        <w:br/>
        <w:br/>
        <w:br/>
        <w:br/>
      </w:r>
    </w:p>
    <w:p>
      <w:pPr>
        <w:pStyle w:val="Normal"/>
        <w:spacing w:before="0" w:after="0"/>
        <w:ind w:hanging="2880" w:start="2880" w:end="0"/>
        <w:rPr>
          <w:rFonts w:ascii="Arial" w:hAnsi="Arial" w:cs="Arial"/>
          <w:i/>
          <w:i/>
          <w:iCs/>
          <w:sz w:val="18"/>
        </w:rPr>
      </w:pPr>
      <w:r>
        <w:rPr>
          <w:rFonts w:cs="Arial" w:ascii="Arial" w:hAnsi="Arial"/>
          <w:i/>
          <w:iCs/>
          <w:sz w:val="18"/>
        </w:rPr>
        <w:br/>
        <w:br/>
        <w:br/>
        <w:br/>
        <w:br/>
      </w:r>
    </w:p>
    <w:p>
      <w:pPr>
        <w:pStyle w:val="Normal"/>
        <w:spacing w:before="0" w:after="0"/>
        <w:ind w:hanging="2880" w:start="2880" w:end="0"/>
        <w:rPr>
          <w:rFonts w:ascii="Arial" w:hAnsi="Arial" w:cs="Arial"/>
          <w:sz w:val="18"/>
        </w:rPr>
      </w:pPr>
      <w:r>
        <w:rPr>
          <w:rFonts w:cs="Arial" w:ascii="Arial" w:hAnsi="Arial"/>
          <w:sz w:val="18"/>
        </w:rPr>
        <w:br/>
        <w:br/>
      </w:r>
    </w:p>
    <w:p>
      <w:pPr>
        <w:pStyle w:val="Normal"/>
        <w:spacing w:before="0" w:after="0"/>
        <w:ind w:hanging="2880" w:start="2880" w:end="0"/>
        <w:rPr/>
      </w:pPr>
      <w:r>
        <w:rPr>
          <w:rFonts w:cs="Arial" w:ascii="Arial" w:hAnsi="Arial"/>
          <w:sz w:val="18"/>
        </w:rPr>
        <w:br/>
        <w:t>Price quotes for the existing USD WTI Swap and the JPY WTI Swap are linked by an EOL conversion algorithm. The conversion algorithm applies a constant volume conversion factor and the most recent FX rate to the USD WTI Swap prices posted on EOL. The algorithm is permanently active. Any change in the FX rate and/or the USD WTI Swap quote is automatically translated into an updated JPY WTI Swap quote. The posting of the adjusted JPY WTI Swap quote is delayed by the calculation time required which is a fraction of a second.</w:t>
        <w:br/>
        <w:br/>
      </w:r>
      <w:r>
        <w:rPr>
          <w:rFonts w:cs="Arial" w:ascii="Arial" w:hAnsi="Arial"/>
          <w:sz w:val="18"/>
        </w:rPr>
      </w:r>
      <m:oMath xmlns:m="http://schemas.openxmlformats.org/officeDocument/2006/math">
        <m:r>
          <m:rPr>
            <m:lit/>
            <m:nor/>
          </m:rPr>
          <m:t xml:space="preserve">WTI</m:t>
        </m:r>
        <m:d>
          <m:dPr>
            <m:begChr m:val="("/>
            <m:endChr m:val=")"/>
          </m:dPr>
          <m:e>
            <m:f>
              <m:num>
                <m:r>
                  <m:rPr>
                    <m:lit/>
                    <m:nor/>
                  </m:rPr>
                  <m:t xml:space="preserve">JPY</m:t>
                </m:r>
              </m:num>
              <m:den>
                <m:r>
                  <m:rPr>
                    <m:lit/>
                    <m:nor/>
                  </m:rPr>
                  <m:t xml:space="preserve">kl</m:t>
                </m:r>
              </m:den>
            </m:f>
          </m:e>
        </m:d>
        <m:r>
          <m:t xml:space="preserve">=</m:t>
        </m:r>
        <m:r>
          <m:rPr>
            <m:lit/>
            <m:nor/>
          </m:rPr>
          <m:t xml:space="preserve">WTI</m:t>
        </m:r>
        <m:d>
          <m:dPr>
            <m:begChr m:val="("/>
            <m:endChr m:val=")"/>
          </m:dPr>
          <m:e>
            <m:f>
              <m:num>
                <m:r>
                  <m:rPr>
                    <m:lit/>
                    <m:nor/>
                  </m:rPr>
                  <m:t xml:space="preserve">USD</m:t>
                </m:r>
              </m:num>
              <m:den>
                <m:r>
                  <m:rPr>
                    <m:lit/>
                    <m:nor/>
                  </m:rPr>
                  <m:t xml:space="preserve">bbl</m:t>
                </m:r>
              </m:den>
            </m:f>
          </m:e>
        </m:d>
        <m:r>
          <m:t xml:space="preserve">×</m:t>
        </m:r>
        <m:r>
          <m:t xml:space="preserve">6</m:t>
        </m:r>
        <m:r>
          <m:rPr>
            <m:lit/>
            <m:nor/>
          </m:rPr>
          <m:t xml:space="preserve">.</m:t>
        </m:r>
        <m:r>
          <m:rPr>
            <m:lit/>
            <m:nor/>
          </m:rPr>
          <m:t xml:space="preserve">2893</m:t>
        </m:r>
        <m:d>
          <m:dPr>
            <m:begChr m:val="("/>
            <m:endChr m:val=")"/>
          </m:dPr>
          <m:e>
            <m:f>
              <m:num>
                <m:r>
                  <m:rPr>
                    <m:lit/>
                    <m:nor/>
                  </m:rPr>
                  <m:t xml:space="preserve">bbl</m:t>
                </m:r>
              </m:num>
              <m:den>
                <m:r>
                  <m:rPr>
                    <m:lit/>
                    <m:nor/>
                  </m:rPr>
                  <m:t xml:space="preserve">kl</m:t>
                </m:r>
              </m:den>
            </m:f>
          </m:e>
        </m:d>
        <m:r>
          <m:t xml:space="preserve">×</m:t>
        </m:r>
        <m:r>
          <m:rPr>
            <m:lit/>
            <m:nor/>
          </m:rPr>
          <m:t xml:space="preserve">FX</m:t>
        </m:r>
        <m:r>
          <m:rPr>
            <m:lit/>
            <m:nor/>
          </m:rPr>
          <m:t xml:space="preserve">Rate</m:t>
        </m:r>
        <m:d>
          <m:dPr>
            <m:begChr m:val="("/>
            <m:endChr m:val=")"/>
          </m:dPr>
          <m:e>
            <m:f>
              <m:num>
                <m:r>
                  <m:rPr>
                    <m:lit/>
                    <m:nor/>
                  </m:rPr>
                  <m:t xml:space="preserve">JPY</m:t>
                </m:r>
              </m:num>
              <m:den>
                <m:r>
                  <m:rPr>
                    <m:lit/>
                    <m:nor/>
                  </m:rPr>
                  <m:t xml:space="preserve">USD</m:t>
                </m:r>
              </m:den>
            </m:f>
          </m:e>
        </m:d>
      </m:oMath>
      <w:r>
        <w:rPr>
          <w:rFonts w:cs="Arial" w:ascii="Arial" w:hAnsi="Arial"/>
          <w:sz w:val="18"/>
        </w:rPr>
        <w:br/>
        <w:br/>
        <w:t xml:space="preserve">The JPY/USD exchange rate is provided to EOL by an external link. The external data link automatically retrieves published FX data from Telerate in real time. The link needs to be run on a machine of a person with access to EOL’s FX Manager and to a Telerate data feed. Enron Metals traders provide this service during Tokyo business hours. </w:t>
        <w:br/>
        <w:br/>
        <w:t xml:space="preserve">The resulting JPY/kiloliter quotes are rounded to the nearest JPY number before being posted on EOL. </w:t>
        <w:br/>
        <w:br/>
        <w:t>Contract volumes of the two products are linked by a similar conversion algorithm. The algorithm is permanently active. Any change in the contract volume of the basis product (USD WTI Swap) automatically lead to an adjustment of the contract volume posted for the JPY WTI Swap.</w:t>
        <w:br/>
        <w:br/>
        <w:tab/>
        <w:tab/>
      </w:r>
      <w:r>
        <w:rPr>
          <w:rFonts w:cs="Arial" w:ascii="Arial" w:hAnsi="Arial"/>
          <w:sz w:val="18"/>
        </w:rPr>
      </w:r>
      <m:oMath xmlns:m="http://schemas.openxmlformats.org/officeDocument/2006/math">
        <m:r>
          <m:t xml:space="preserve">V</m:t>
        </m:r>
        <m:d>
          <m:dPr>
            <m:begChr m:val="("/>
            <m:endChr m:val=")"/>
          </m:dPr>
          <m:e>
            <m:r>
              <m:rPr>
                <m:lit/>
                <m:nor/>
              </m:rPr>
              <m:t xml:space="preserve">kl</m:t>
            </m:r>
          </m:e>
        </m:d>
        <m:r>
          <m:t xml:space="preserve">=</m:t>
        </m:r>
        <m:r>
          <m:t xml:space="preserve">V</m:t>
        </m:r>
        <m:d>
          <m:dPr>
            <m:begChr m:val="("/>
            <m:endChr m:val=")"/>
          </m:dPr>
          <m:e>
            <m:r>
              <m:rPr>
                <m:lit/>
                <m:nor/>
              </m:rPr>
              <m:t xml:space="preserve">bbl</m:t>
            </m:r>
          </m:e>
        </m:d>
        <m:r>
          <m:t xml:space="preserve">×</m:t>
        </m:r>
        <m:r>
          <m:t xml:space="preserve">0</m:t>
        </m:r>
        <m:r>
          <m:rPr>
            <m:lit/>
            <m:nor/>
          </m:rPr>
          <m:t xml:space="preserve">.</m:t>
        </m:r>
        <m:r>
          <m:rPr>
            <m:lit/>
            <m:nor/>
          </m:rPr>
          <m:t xml:space="preserve">159</m:t>
        </m:r>
      </m:oMath>
      <w:r>
        <w:rPr>
          <w:rFonts w:cs="Arial" w:ascii="Arial" w:hAnsi="Arial"/>
          <w:sz w:val="18"/>
        </w:rPr>
        <w:br/>
        <w:t xml:space="preserve"> </w:t>
        <w:br/>
        <w:t xml:space="preserve">The conversion from barrel into kiloliter results in uneven numbers that need to be rounded to the nearest 100. 100 kl are the lot size traded on TOCOM and a commonly traded size in the domestic waterborne market whereas the truck market trades in 20 kl increments. This will result in some residual basis (see below). </w:t>
        <w:br/>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rFonts w:ascii="Arial" w:hAnsi="Arial" w:cs="Arial"/>
          <w:sz w:val="18"/>
        </w:rPr>
      </w:pPr>
      <w:r>
        <w:rPr>
          <w:rFonts w:cs="Arial" w:ascii="Arial" w:hAnsi="Arial"/>
          <w:sz w:val="18"/>
        </w:rPr>
        <w:t>Enron’s Role/Value Proposition:</w:t>
        <w:tab/>
        <w:t>Enron is perceived in Japan as a risk management oriented energy company distinguishing itself by its innovative approach to the market. The launch of a domestic online crude product would underscore this perspective and give us further visibility in the market.</w:t>
        <w:br/>
        <w:br/>
        <w:t xml:space="preserve">The products are part of Enron Japan’s overall effort to extend Enron’s crude and products business to Japan. It will be marketed to customers as one potential means to meet their risk management requirements. </w:t>
      </w:r>
    </w:p>
    <w:p>
      <w:pPr>
        <w:pStyle w:val="Normal"/>
        <w:spacing w:before="0" w:after="0"/>
        <w:ind w:hanging="2880" w:start="2880" w:end="0"/>
        <w:rPr>
          <w:rFonts w:ascii="Arial" w:hAnsi="Arial" w:cs="Arial"/>
          <w:sz w:val="18"/>
        </w:rPr>
      </w:pPr>
      <w:r>
        <w:rPr>
          <w:rFonts w:cs="Arial" w:ascii="Arial" w:hAnsi="Arial"/>
          <w:sz w:val="18"/>
        </w:rPr>
        <w:br/>
      </w:r>
    </w:p>
    <w:p>
      <w:pPr>
        <w:pStyle w:val="Normal"/>
        <w:spacing w:before="0" w:after="0"/>
        <w:ind w:hanging="2880" w:start="2880" w:end="0"/>
        <w:rPr>
          <w:rFonts w:ascii="Arial" w:hAnsi="Arial" w:cs="Arial"/>
          <w:sz w:val="18"/>
        </w:rPr>
      </w:pPr>
      <w:r>
        <w:rPr>
          <w:rFonts w:cs="Arial" w:ascii="Arial" w:hAnsi="Arial"/>
          <w:sz w:val="18"/>
        </w:rPr>
      </w:r>
    </w:p>
    <w:p>
      <w:pPr>
        <w:pStyle w:val="Normal"/>
        <w:tabs>
          <w:tab w:val="clear" w:pos="720"/>
          <w:tab w:val="left" w:pos="2880" w:leader="none"/>
        </w:tabs>
        <w:spacing w:before="0" w:after="0"/>
        <w:ind w:hanging="2880" w:start="2880" w:end="0"/>
        <w:rPr>
          <w:rFonts w:ascii="Arial" w:hAnsi="Arial" w:cs="Arial"/>
          <w:sz w:val="18"/>
        </w:rPr>
      </w:pPr>
      <w:r>
        <w:rPr>
          <w:rFonts w:cs="Arial" w:ascii="Arial" w:hAnsi="Arial"/>
          <w:sz w:val="18"/>
        </w:rPr>
        <w:t>Risks:</w:t>
        <w:tab/>
        <w:t>Incoming transactions in the JPY WTI Swaps are hedge automatically.</w:t>
      </w:r>
    </w:p>
    <w:p>
      <w:pPr>
        <w:pStyle w:val="Normal"/>
        <w:tabs>
          <w:tab w:val="clear" w:pos="720"/>
          <w:tab w:val="left" w:pos="2880" w:leader="none"/>
        </w:tabs>
        <w:spacing w:before="0" w:after="0"/>
        <w:ind w:hanging="2880" w:start="2880" w:end="0"/>
        <w:rPr>
          <w:rFonts w:ascii="Arial" w:hAnsi="Arial" w:cs="Arial"/>
          <w:sz w:val="18"/>
        </w:rPr>
      </w:pPr>
      <w:r>
        <w:rPr>
          <w:rFonts w:cs="Arial" w:ascii="Arial" w:hAnsi="Arial"/>
          <w:sz w:val="18"/>
        </w:rPr>
        <w:br/>
        <w:br/>
      </w:r>
      <w:r>
        <mc:AlternateContent>
          <mc:Choice Requires="wps">
            <w:drawing>
              <wp:anchor behindDoc="0" distT="0" distB="0" distL="114935" distR="114935" simplePos="0" locked="0" layoutInCell="1" allowOverlap="1" relativeHeight="8">
                <wp:simplePos x="0" y="0"/>
                <wp:positionH relativeFrom="column">
                  <wp:posOffset>3343910</wp:posOffset>
                </wp:positionH>
                <wp:positionV relativeFrom="paragraph">
                  <wp:posOffset>300990</wp:posOffset>
                </wp:positionV>
                <wp:extent cx="747395" cy="382905"/>
                <wp:effectExtent l="0" t="0" r="0" b="0"/>
                <wp:wrapNone/>
                <wp:docPr id="3" name="Frame3"/>
                <a:graphic xmlns:a="http://schemas.openxmlformats.org/drawingml/2006/main">
                  <a:graphicData uri="http://schemas.microsoft.com/office/word/2010/wordprocessingShape">
                    <wps:wsp>
                      <wps:cNvSpPr txBox="1"/>
                      <wps:spPr>
                        <a:xfrm>
                          <a:off x="0" y="0"/>
                          <a:ext cx="747395" cy="382905"/>
                        </a:xfrm>
                        <a:prstGeom prst="rect"/>
                        <a:solidFill>
                          <a:srgbClr val="FFFFFF"/>
                        </a:solidFill>
                        <a:ln w="9525">
                          <a:solidFill>
                            <a:srgbClr val="000000"/>
                          </a:solidFill>
                        </a:ln>
                      </wps:spPr>
                      <wps:txbx>
                        <w:txbxContent>
                          <w:p>
                            <w:pPr>
                              <w:pStyle w:val="Normal"/>
                              <w:spacing w:before="60" w:after="60"/>
                              <w:jc w:val="center"/>
                              <w:rPr>
                                <w:rFonts w:ascii="Arial" w:hAnsi="Arial" w:cs="Arial"/>
                                <w:sz w:val="16"/>
                              </w:rPr>
                            </w:pPr>
                            <w:r>
                              <w:rPr>
                                <w:rFonts w:cs="Arial" w:ascii="Arial" w:hAnsi="Arial"/>
                                <w:sz w:val="16"/>
                              </w:rPr>
                              <w:t>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58.85pt;height:30.15pt;mso-wrap-distance-left:9.05pt;mso-wrap-distance-right:9.05pt;mso-wrap-distance-top:0pt;mso-wrap-distance-bottom:0pt;margin-top:23.7pt;mso-position-vertical-relative:text;margin-left:263.3pt;mso-position-horizontal-relative:text">
                <v:textbox>
                  <w:txbxContent>
                    <w:p>
                      <w:pPr>
                        <w:pStyle w:val="Normal"/>
                        <w:spacing w:before="60" w:after="60"/>
                        <w:jc w:val="center"/>
                        <w:rPr>
                          <w:rFonts w:ascii="Arial" w:hAnsi="Arial" w:cs="Arial"/>
                          <w:sz w:val="16"/>
                        </w:rPr>
                      </w:pPr>
                      <w:r>
                        <w:rPr>
                          <w:rFonts w:cs="Arial" w:ascii="Arial" w:hAnsi="Arial"/>
                          <w:sz w:val="16"/>
                        </w:rPr>
                        <w:t>Customer</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4107180</wp:posOffset>
                </wp:positionH>
                <wp:positionV relativeFrom="paragraph">
                  <wp:posOffset>309880</wp:posOffset>
                </wp:positionV>
                <wp:extent cx="1767205" cy="363855"/>
                <wp:effectExtent l="0" t="0" r="0" b="0"/>
                <wp:wrapNone/>
                <wp:docPr id="4" name="Frame2"/>
                <a:graphic xmlns:a="http://schemas.openxmlformats.org/drawingml/2006/main">
                  <a:graphicData uri="http://schemas.microsoft.com/office/word/2010/wordprocessingShape">
                    <wps:wsp>
                      <wps:cNvSpPr txBox="1"/>
                      <wps:spPr>
                        <a:xfrm>
                          <a:off x="0" y="0"/>
                          <a:ext cx="1767205" cy="363855"/>
                        </a:xfrm>
                        <a:prstGeom prst="rect"/>
                        <a:solidFill>
                          <a:srgbClr val="FFFFFF"/>
                        </a:solidFill>
                      </wps:spPr>
                      <wps:txbx>
                        <w:txbxContent>
                          <w:p>
                            <w:pPr>
                              <w:pStyle w:val="Normal"/>
                              <w:numPr>
                                <w:ilvl w:val="0"/>
                                <w:numId w:val="2"/>
                              </w:numPr>
                              <w:tabs>
                                <w:tab w:val="clear" w:pos="720"/>
                              </w:tabs>
                              <w:spacing w:before="0" w:after="0"/>
                              <w:ind w:hanging="274" w:start="274" w:end="0"/>
                              <w:rPr>
                                <w:rFonts w:ascii="Arial" w:hAnsi="Arial" w:cs="Arial"/>
                                <w:sz w:val="12"/>
                              </w:rPr>
                            </w:pPr>
                            <w:r>
                              <w:rPr>
                                <w:rFonts w:cs="Arial" w:ascii="Arial" w:hAnsi="Arial"/>
                                <w:sz w:val="12"/>
                              </w:rPr>
                              <w:t>JPY WTI Swap Transaction completed</w:t>
                            </w:r>
                          </w:p>
                        </w:txbxContent>
                      </wps:txbx>
                      <wps:bodyPr anchor="t" lIns="92075" tIns="46355" rIns="92075" bIns="46355">
                        <a:noAutofit/>
                      </wps:bodyPr>
                    </wps:wsp>
                  </a:graphicData>
                </a:graphic>
              </wp:anchor>
            </w:drawing>
          </mc:Choice>
          <mc:Fallback>
            <w:pict>
              <v:rect fillcolor="#FFFFFF" style="position:absolute;rotation:-0;width:139.15pt;height:28.65pt;mso-wrap-distance-left:9.05pt;mso-wrap-distance-right:9.05pt;mso-wrap-distance-top:0pt;mso-wrap-distance-bottom:0pt;margin-top:24.4pt;mso-position-vertical-relative:text;margin-left:323.4pt;mso-position-horizontal-relative:text">
                <v:textbox inset="0.100694444444444in,0.0506944444444444in,0.100694444444444in,0.0506944444444444in">
                  <w:txbxContent>
                    <w:p>
                      <w:pPr>
                        <w:pStyle w:val="Normal"/>
                        <w:numPr>
                          <w:ilvl w:val="0"/>
                          <w:numId w:val="2"/>
                        </w:numPr>
                        <w:tabs>
                          <w:tab w:val="clear" w:pos="720"/>
                        </w:tabs>
                        <w:spacing w:before="0" w:after="0"/>
                        <w:ind w:hanging="274" w:start="274" w:end="0"/>
                        <w:rPr>
                          <w:rFonts w:ascii="Arial" w:hAnsi="Arial" w:cs="Arial"/>
                          <w:sz w:val="12"/>
                        </w:rPr>
                      </w:pPr>
                      <w:r>
                        <w:rPr>
                          <w:rFonts w:cs="Arial" w:ascii="Arial" w:hAnsi="Arial"/>
                          <w:sz w:val="12"/>
                        </w:rPr>
                        <w:t>JPY WTI Swap Transaction completed</w:t>
                      </w:r>
                    </w:p>
                  </w:txbxContent>
                </v:textbox>
                <w10:wrap type="none"/>
              </v:rect>
            </w:pict>
          </mc:Fallback>
        </mc:AlternateContent>
      </w:r>
    </w:p>
    <w:p>
      <w:pPr>
        <w:pStyle w:val="Normal"/>
        <w:tabs>
          <w:tab w:val="clear" w:pos="720"/>
          <w:tab w:val="left" w:pos="2880" w:leader="none"/>
        </w:tabs>
        <w:spacing w:before="0" w:after="0"/>
        <w:ind w:hanging="2880" w:start="2880" w:end="0"/>
        <w:rPr>
          <w:rFonts w:ascii="Arial" w:hAnsi="Arial" w:cs="Arial"/>
          <w:sz w:val="18"/>
        </w:rPr>
      </w:pPr>
      <w:r>
        <w:rPr>
          <w:rFonts w:cs="Arial" w:ascii="Arial" w:hAnsi="Arial"/>
          <w:sz w:val="18"/>
        </w:rPr>
        <w:br/>
      </w:r>
    </w:p>
    <w:p>
      <w:pPr>
        <w:pStyle w:val="Normal"/>
        <w:spacing w:before="0" w:after="0"/>
        <w:ind w:hanging="2880" w:start="2880" w:end="0"/>
        <w:rPr>
          <w:rFonts w:ascii="Arial" w:hAnsi="Arial" w:cs="Arial"/>
          <w:sz w:val="18"/>
          <w:lang w:val="en-CA" w:eastAsia="en-CA"/>
        </w:rPr>
      </w:pPr>
      <w:r>
        <w:rPr>
          <w:rFonts w:cs="Arial" w:ascii="Arial" w:hAnsi="Arial"/>
          <w:sz w:val="18"/>
          <w:lang w:val="en-CA" w:eastAsia="en-CA"/>
        </w:rPr>
        <mc:AlternateContent>
          <mc:Choice Requires="wps">
            <w:drawing>
              <wp:anchor behindDoc="0" distT="0" distB="0" distL="114935" distR="114935" simplePos="0" locked="0" layoutInCell="1" allowOverlap="1" relativeHeight="13">
                <wp:simplePos x="0" y="0"/>
                <wp:positionH relativeFrom="column">
                  <wp:posOffset>3692525</wp:posOffset>
                </wp:positionH>
                <wp:positionV relativeFrom="paragraph">
                  <wp:posOffset>51435</wp:posOffset>
                </wp:positionV>
                <wp:extent cx="635" cy="313055"/>
                <wp:effectExtent l="38100" t="635" r="38100" b="0"/>
                <wp:wrapNone/>
                <wp:docPr id="5" name=""/>
                <a:graphic xmlns:a="http://schemas.openxmlformats.org/drawingml/2006/main">
                  <a:graphicData uri="http://schemas.microsoft.com/office/word/2010/wordprocessingShape">
                    <wps:wsp>
                      <wps:cNvSpPr/>
                      <wps:spPr>
                        <a:xfrm>
                          <a:off x="0" y="0"/>
                          <a:ext cx="720" cy="313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0.75pt,4.05pt" to="290.75pt,28.6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9">
                <wp:simplePos x="0" y="0"/>
                <wp:positionH relativeFrom="column">
                  <wp:posOffset>3203575</wp:posOffset>
                </wp:positionH>
                <wp:positionV relativeFrom="paragraph">
                  <wp:posOffset>35560</wp:posOffset>
                </wp:positionV>
                <wp:extent cx="482600" cy="313055"/>
                <wp:effectExtent l="0" t="0" r="0" b="0"/>
                <wp:wrapNone/>
                <wp:docPr id="6" name="Frame4"/>
                <a:graphic xmlns:a="http://schemas.openxmlformats.org/drawingml/2006/main">
                  <a:graphicData uri="http://schemas.microsoft.com/office/word/2010/wordprocessingShape">
                    <wps:wsp>
                      <wps:cNvSpPr txBox="1"/>
                      <wps:spPr>
                        <a:xfrm>
                          <a:off x="0" y="0"/>
                          <a:ext cx="482600" cy="313055"/>
                        </a:xfrm>
                        <a:prstGeom prst="rect"/>
                        <a:solidFill>
                          <a:srgbClr val="FFFFFF">
                            <a:alpha val="0"/>
                          </a:srgbClr>
                        </a:solidFill>
                      </wps:spPr>
                      <wps:txbx>
                        <w:txbxContent>
                          <w:p>
                            <w:pPr>
                              <w:pStyle w:val="Normal"/>
                              <w:spacing w:before="60" w:after="60"/>
                              <w:jc w:val="end"/>
                              <w:rPr>
                                <w:rFonts w:ascii="Arial" w:hAnsi="Arial" w:cs="Arial"/>
                                <w:sz w:val="12"/>
                              </w:rPr>
                            </w:pPr>
                            <w:r>
                              <w:rPr>
                                <w:rFonts w:cs="Arial" w:ascii="Arial" w:hAnsi="Arial"/>
                                <w:sz w:val="12"/>
                              </w:rPr>
                              <w:t>JPY/kl trade</w:t>
                            </w:r>
                          </w:p>
                        </w:txbxContent>
                      </wps:txbx>
                      <wps:bodyPr anchor="t" lIns="92075" tIns="46355" rIns="92075" bIns="46355">
                        <a:noAutofit/>
                      </wps:bodyPr>
                    </wps:wsp>
                  </a:graphicData>
                </a:graphic>
              </wp:anchor>
            </w:drawing>
          </mc:Choice>
          <mc:Fallback>
            <w:pict>
              <v:rect fillcolor="#FFFFFF" style="position:absolute;rotation:-0;width:38pt;height:24.65pt;mso-wrap-distance-left:9.05pt;mso-wrap-distance-right:9.05pt;mso-wrap-distance-top:0pt;mso-wrap-distance-bottom:0pt;margin-top:2.8pt;mso-position-vertical-relative:text;margin-left:252.25pt;mso-position-horizontal-relative:text">
                <v:fill opacity="0f"/>
                <v:textbox inset="0.100694444444444in,0.0506944444444444in,0.100694444444444in,0.0506944444444444in">
                  <w:txbxContent>
                    <w:p>
                      <w:pPr>
                        <w:pStyle w:val="Normal"/>
                        <w:spacing w:before="60" w:after="60"/>
                        <w:jc w:val="end"/>
                        <w:rPr>
                          <w:rFonts w:ascii="Arial" w:hAnsi="Arial" w:cs="Arial"/>
                          <w:sz w:val="12"/>
                        </w:rPr>
                      </w:pPr>
                      <w:r>
                        <w:rPr>
                          <w:rFonts w:cs="Arial" w:ascii="Arial" w:hAnsi="Arial"/>
                          <w:sz w:val="12"/>
                        </w:rPr>
                        <w:t>JPY/kl trade</w:t>
                      </w:r>
                    </w:p>
                  </w:txbxContent>
                </v:textbox>
                <w10:wrap type="none"/>
              </v:rect>
            </w:pict>
          </mc:Fallback>
        </mc:AlternateContent>
      </w:r>
    </w:p>
    <w:p>
      <w:pPr>
        <w:pStyle w:val="Normal"/>
        <w:spacing w:before="0" w:after="0"/>
        <w:ind w:hanging="2880" w:start="2880" w:end="0"/>
        <w:rPr>
          <w:rFonts w:ascii="Arial" w:hAnsi="Arial" w:cs="Arial"/>
          <w:sz w:val="18"/>
        </w:rPr>
      </w:pPr>
      <w:r>
        <w:rPr>
          <w:rFonts w:cs="Arial" w:ascii="Arial" w:hAnsi="Arial"/>
          <w:sz w:val="18"/>
        </w:rPr>
        <mc:AlternateContent>
          <mc:Choice Requires="wps">
            <w:drawing>
              <wp:anchor behindDoc="0" distT="0" distB="0" distL="114935" distR="114935" simplePos="0" locked="0" layoutInCell="1" allowOverlap="1" relativeHeight="14">
                <wp:simplePos x="0" y="0"/>
                <wp:positionH relativeFrom="column">
                  <wp:posOffset>3688715</wp:posOffset>
                </wp:positionH>
                <wp:positionV relativeFrom="paragraph">
                  <wp:posOffset>654685</wp:posOffset>
                </wp:positionV>
                <wp:extent cx="7620" cy="720725"/>
                <wp:effectExtent l="37465" t="635" r="31750" b="0"/>
                <wp:wrapNone/>
                <wp:docPr id="7" name=""/>
                <a:graphic xmlns:a="http://schemas.openxmlformats.org/drawingml/2006/main">
                  <a:graphicData uri="http://schemas.microsoft.com/office/word/2010/wordprocessingShape">
                    <wps:wsp>
                      <wps:cNvSpPr/>
                      <wps:spPr>
                        <a:xfrm flipH="1">
                          <a:off x="0" y="0"/>
                          <a:ext cx="7560" cy="720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0.45pt,51.55pt" to="291pt,108.25pt" stroked="t" o:allowincell="f" style="position:absolute;flip:x">
                <v:stroke color="black" weight="9360" endarrow="block" endarrowwidth="medium" endarrowlength="medium" joinstyle="miter" endcap="flat"/>
                <v:fill o:detectmouseclick="t" on="false"/>
                <w10:wrap type="none"/>
              </v:line>
            </w:pict>
          </mc:Fallback>
        </mc:AlternateContent>
        <w:br/>
        <w:br/>
        <w:br/>
        <w:br/>
        <w:br/>
        <w:br/>
        <w:br/>
      </w:r>
      <w:r>
        <mc:AlternateContent>
          <mc:Choice Requires="wps">
            <w:drawing>
              <wp:anchor behindDoc="0" distT="0" distB="0" distL="114935" distR="114935" simplePos="0" locked="0" layoutInCell="1" allowOverlap="1" relativeHeight="9">
                <wp:simplePos x="0" y="0"/>
                <wp:positionH relativeFrom="column">
                  <wp:posOffset>3347720</wp:posOffset>
                </wp:positionH>
                <wp:positionV relativeFrom="paragraph">
                  <wp:posOffset>243205</wp:posOffset>
                </wp:positionV>
                <wp:extent cx="747395" cy="382905"/>
                <wp:effectExtent l="0" t="0" r="0" b="0"/>
                <wp:wrapNone/>
                <wp:docPr id="8" name="Frame7"/>
                <a:graphic xmlns:a="http://schemas.openxmlformats.org/drawingml/2006/main">
                  <a:graphicData uri="http://schemas.microsoft.com/office/word/2010/wordprocessingShape">
                    <wps:wsp>
                      <wps:cNvSpPr txBox="1"/>
                      <wps:spPr>
                        <a:xfrm>
                          <a:off x="0" y="0"/>
                          <a:ext cx="747395" cy="382905"/>
                        </a:xfrm>
                        <a:prstGeom prst="rect"/>
                        <a:solidFill>
                          <a:srgbClr val="FFFFFF"/>
                        </a:solidFill>
                        <a:ln w="9525">
                          <a:solidFill>
                            <a:srgbClr val="000000"/>
                          </a:solidFill>
                        </a:ln>
                      </wps:spPr>
                      <wps:txbx>
                        <w:txbxContent>
                          <w:p>
                            <w:pPr>
                              <w:pStyle w:val="Normal"/>
                              <w:spacing w:before="60" w:after="60"/>
                              <w:jc w:val="center"/>
                              <w:rPr>
                                <w:rFonts w:ascii="Arial" w:hAnsi="Arial" w:cs="Arial"/>
                                <w:sz w:val="16"/>
                              </w:rPr>
                            </w:pPr>
                            <w:r>
                              <w:rPr>
                                <w:rFonts w:cs="Arial" w:ascii="Arial" w:hAnsi="Arial"/>
                                <w:sz w:val="16"/>
                              </w:rPr>
                              <w:t>EOL</w:t>
                            </w:r>
                          </w:p>
                        </w:txbxContent>
                      </wps:txbx>
                      <wps:bodyPr anchor="t" lIns="91440" tIns="45720" rIns="91440" bIns="45720">
                        <a:noAutofit/>
                      </wps:bodyPr>
                    </wps:wsp>
                  </a:graphicData>
                </a:graphic>
              </wp:anchor>
            </w:drawing>
          </mc:Choice>
          <mc:Fallback>
            <w:pict>
              <v:rect fillcolor="#FFFFFF" strokecolor="#000000" strokeweight="0pt" style="position:absolute;rotation:-0;width:58.85pt;height:30.15pt;mso-wrap-distance-left:9.05pt;mso-wrap-distance-right:9.05pt;mso-wrap-distance-top:0pt;mso-wrap-distance-bottom:0pt;margin-top:19.15pt;mso-position-vertical-relative:text;margin-left:263.6pt;mso-position-horizontal-relative:text">
                <v:textbox>
                  <w:txbxContent>
                    <w:p>
                      <w:pPr>
                        <w:pStyle w:val="Normal"/>
                        <w:spacing w:before="60" w:after="60"/>
                        <w:jc w:val="center"/>
                        <w:rPr>
                          <w:rFonts w:ascii="Arial" w:hAnsi="Arial" w:cs="Arial"/>
                          <w:sz w:val="16"/>
                        </w:rPr>
                      </w:pPr>
                      <w:r>
                        <w:rPr>
                          <w:rFonts w:cs="Arial" w:ascii="Arial" w:hAnsi="Arial"/>
                          <w:sz w:val="16"/>
                        </w:rPr>
                        <w:t>EOL</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4113530</wp:posOffset>
                </wp:positionH>
                <wp:positionV relativeFrom="paragraph">
                  <wp:posOffset>180975</wp:posOffset>
                </wp:positionV>
                <wp:extent cx="1648460" cy="1565275"/>
                <wp:effectExtent l="0" t="0" r="0" b="0"/>
                <wp:wrapNone/>
                <wp:docPr id="9" name="Frame5"/>
                <a:graphic xmlns:a="http://schemas.openxmlformats.org/drawingml/2006/main">
                  <a:graphicData uri="http://schemas.microsoft.com/office/word/2010/wordprocessingShape">
                    <wps:wsp>
                      <wps:cNvSpPr txBox="1"/>
                      <wps:spPr>
                        <a:xfrm>
                          <a:off x="0" y="0"/>
                          <a:ext cx="1648460" cy="1565275"/>
                        </a:xfrm>
                        <a:prstGeom prst="rect"/>
                        <a:solidFill>
                          <a:srgbClr val="FFFFFF">
                            <a:alpha val="0"/>
                          </a:srgbClr>
                        </a:solidFill>
                      </wps:spPr>
                      <wps:txbx>
                        <w:txbxContent>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automatically executes an off-setting transaction in the corresponding basis product (USD WTI Swap) as soon as it recognizes the completed JPY WTI Swap transaction</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calculates the FX exposure of the two completed WTI transactions</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automatically executes FX hedge against FX rates provided by external data link</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sends automatically all data about the JPY WTI Swap, the USD WTI Swap-hedge and the FX hedge to MoneyPenny for deal capture</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MoneyPenny captures deals</w:t>
                            </w:r>
                          </w:p>
                        </w:txbxContent>
                      </wps:txbx>
                      <wps:bodyPr anchor="t" lIns="92075" tIns="46355" rIns="92075" bIns="46355">
                        <a:noAutofit/>
                      </wps:bodyPr>
                    </wps:wsp>
                  </a:graphicData>
                </a:graphic>
              </wp:anchor>
            </w:drawing>
          </mc:Choice>
          <mc:Fallback>
            <w:pict>
              <v:rect fillcolor="#FFFFFF" style="position:absolute;rotation:-0;width:129.8pt;height:123.25pt;mso-wrap-distance-left:9.05pt;mso-wrap-distance-right:9.05pt;mso-wrap-distance-top:0pt;mso-wrap-distance-bottom:0pt;margin-top:14.25pt;mso-position-vertical-relative:text;margin-left:323.9pt;mso-position-horizontal-relative:text">
                <v:fill opacity="0f"/>
                <v:textbox inset="0.100694444444444in,0.0506944444444444in,0.100694444444444in,0.0506944444444444in">
                  <w:txbxContent>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automatically executes an off-setting transaction in the corresponding basis product (USD WTI Swap) as soon as it recognizes the completed JPY WTI Swap transaction</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calculates the FX exposure of the two completed WTI transactions</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automatically executes FX hedge against FX rates provided by external data link</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EOL sends automatically all data about the JPY WTI Swap, the USD WTI Swap-hedge and the FX hedge to MoneyPenny for deal capture</w:t>
                      </w:r>
                    </w:p>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MoneyPenny captures deals</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3211195</wp:posOffset>
                </wp:positionH>
                <wp:positionV relativeFrom="paragraph">
                  <wp:posOffset>836930</wp:posOffset>
                </wp:positionV>
                <wp:extent cx="482600" cy="313055"/>
                <wp:effectExtent l="0" t="0" r="0" b="0"/>
                <wp:wrapNone/>
                <wp:docPr id="10" name="Frame6"/>
                <a:graphic xmlns:a="http://schemas.openxmlformats.org/drawingml/2006/main">
                  <a:graphicData uri="http://schemas.microsoft.com/office/word/2010/wordprocessingShape">
                    <wps:wsp>
                      <wps:cNvSpPr txBox="1"/>
                      <wps:spPr>
                        <a:xfrm>
                          <a:off x="0" y="0"/>
                          <a:ext cx="482600" cy="313055"/>
                        </a:xfrm>
                        <a:prstGeom prst="rect"/>
                        <a:solidFill>
                          <a:srgbClr val="FFFFFF">
                            <a:alpha val="0"/>
                          </a:srgbClr>
                        </a:solidFill>
                      </wps:spPr>
                      <wps:txbx>
                        <w:txbxContent>
                          <w:p>
                            <w:pPr>
                              <w:pStyle w:val="Normal"/>
                              <w:spacing w:before="60" w:after="60"/>
                              <w:jc w:val="end"/>
                              <w:rPr>
                                <w:rFonts w:ascii="Arial" w:hAnsi="Arial" w:cs="Arial"/>
                                <w:sz w:val="12"/>
                              </w:rPr>
                            </w:pPr>
                            <w:r>
                              <w:rPr>
                                <w:rFonts w:cs="Arial" w:ascii="Arial" w:hAnsi="Arial"/>
                                <w:sz w:val="12"/>
                              </w:rPr>
                              <w:t>JPY/kl trade</w:t>
                            </w:r>
                          </w:p>
                        </w:txbxContent>
                      </wps:txbx>
                      <wps:bodyPr anchor="t" lIns="92075" tIns="46355" rIns="92075" bIns="46355">
                        <a:noAutofit/>
                      </wps:bodyPr>
                    </wps:wsp>
                  </a:graphicData>
                </a:graphic>
              </wp:anchor>
            </w:drawing>
          </mc:Choice>
          <mc:Fallback>
            <w:pict>
              <v:rect fillcolor="#FFFFFF" style="position:absolute;rotation:-0;width:38pt;height:24.65pt;mso-wrap-distance-left:9.05pt;mso-wrap-distance-right:9.05pt;mso-wrap-distance-top:0pt;mso-wrap-distance-bottom:0pt;margin-top:65.9pt;mso-position-vertical-relative:text;margin-left:252.85pt;mso-position-horizontal-relative:text">
                <v:fill opacity="0f"/>
                <v:textbox inset="0.100694444444444in,0.0506944444444444in,0.100694444444444in,0.0506944444444444in">
                  <w:txbxContent>
                    <w:p>
                      <w:pPr>
                        <w:pStyle w:val="Normal"/>
                        <w:spacing w:before="60" w:after="60"/>
                        <w:jc w:val="end"/>
                        <w:rPr>
                          <w:rFonts w:ascii="Arial" w:hAnsi="Arial" w:cs="Arial"/>
                          <w:sz w:val="12"/>
                        </w:rPr>
                      </w:pPr>
                      <w:r>
                        <w:rPr>
                          <w:rFonts w:cs="Arial" w:ascii="Arial" w:hAnsi="Arial"/>
                          <w:sz w:val="12"/>
                        </w:rPr>
                        <w:t>JPY/kl trade</w:t>
                      </w:r>
                    </w:p>
                  </w:txbxContent>
                </v:textbox>
                <w10:wrap type="none"/>
              </v:rect>
            </w:pict>
          </mc:Fallback>
        </mc:AlternateContent>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rFonts w:ascii="Arial" w:hAnsi="Arial" w:cs="Arial"/>
          <w:sz w:val="18"/>
          <w:lang w:val="en-CA" w:eastAsia="en-CA"/>
        </w:rPr>
      </w:pPr>
      <w:r>
        <w:rPr>
          <w:rFonts w:cs="Arial" w:ascii="Arial" w:hAnsi="Arial"/>
          <w:sz w:val="18"/>
          <w:lang w:val="en-CA" w:eastAsia="en-CA"/>
        </w:rPr>
      </w:r>
      <w:r>
        <mc:AlternateContent>
          <mc:Choice Requires="wps">
            <w:drawing>
              <wp:anchor behindDoc="0" distT="0" distB="0" distL="114935" distR="114935" simplePos="0" locked="0" layoutInCell="1" allowOverlap="1" relativeHeight="10">
                <wp:simplePos x="0" y="0"/>
                <wp:positionH relativeFrom="column">
                  <wp:posOffset>3347720</wp:posOffset>
                </wp:positionH>
                <wp:positionV relativeFrom="paragraph">
                  <wp:posOffset>117475</wp:posOffset>
                </wp:positionV>
                <wp:extent cx="747395" cy="382905"/>
                <wp:effectExtent l="0" t="0" r="0" b="0"/>
                <wp:wrapNone/>
                <wp:docPr id="11" name="Frame10"/>
                <a:graphic xmlns:a="http://schemas.openxmlformats.org/drawingml/2006/main">
                  <a:graphicData uri="http://schemas.microsoft.com/office/word/2010/wordprocessingShape">
                    <wps:wsp>
                      <wps:cNvSpPr txBox="1"/>
                      <wps:spPr>
                        <a:xfrm>
                          <a:off x="0" y="0"/>
                          <a:ext cx="747395" cy="382905"/>
                        </a:xfrm>
                        <a:prstGeom prst="rect"/>
                        <a:solidFill>
                          <a:srgbClr val="FFFFFF"/>
                        </a:solidFill>
                        <a:ln w="9525">
                          <a:solidFill>
                            <a:srgbClr val="000000"/>
                          </a:solidFill>
                        </a:ln>
                      </wps:spPr>
                      <wps:txbx>
                        <w:txbxContent>
                          <w:p>
                            <w:pPr>
                              <w:pStyle w:val="Normal"/>
                              <w:spacing w:before="60" w:after="60"/>
                              <w:jc w:val="center"/>
                              <w:rPr>
                                <w:rFonts w:ascii="Arial" w:hAnsi="Arial" w:cs="Arial"/>
                                <w:sz w:val="16"/>
                              </w:rPr>
                            </w:pPr>
                            <w:r>
                              <w:rPr>
                                <w:rFonts w:cs="Arial" w:ascii="Arial" w:hAnsi="Arial"/>
                                <w:sz w:val="16"/>
                              </w:rPr>
                              <w:t>ENA</w:t>
                            </w:r>
                          </w:p>
                        </w:txbxContent>
                      </wps:txbx>
                      <wps:bodyPr anchor="t" lIns="91440" tIns="45720" rIns="91440" bIns="45720">
                        <a:noAutofit/>
                      </wps:bodyPr>
                    </wps:wsp>
                  </a:graphicData>
                </a:graphic>
              </wp:anchor>
            </w:drawing>
          </mc:Choice>
          <mc:Fallback>
            <w:pict>
              <v:rect fillcolor="#FFFFFF" strokecolor="#000000" strokeweight="0pt" style="position:absolute;rotation:-0;width:58.85pt;height:30.15pt;mso-wrap-distance-left:9.05pt;mso-wrap-distance-right:9.05pt;mso-wrap-distance-top:0pt;mso-wrap-distance-bottom:0pt;margin-top:9.25pt;mso-position-vertical-relative:text;margin-left:263.6pt;mso-position-horizontal-relative:text">
                <v:textbox>
                  <w:txbxContent>
                    <w:p>
                      <w:pPr>
                        <w:pStyle w:val="Normal"/>
                        <w:spacing w:before="60" w:after="60"/>
                        <w:jc w:val="center"/>
                        <w:rPr>
                          <w:rFonts w:ascii="Arial" w:hAnsi="Arial" w:cs="Arial"/>
                          <w:sz w:val="16"/>
                        </w:rPr>
                      </w:pPr>
                      <w:r>
                        <w:rPr>
                          <w:rFonts w:cs="Arial" w:ascii="Arial" w:hAnsi="Arial"/>
                          <w:sz w:val="16"/>
                        </w:rPr>
                        <w:t>ENA</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1795780</wp:posOffset>
                </wp:positionH>
                <wp:positionV relativeFrom="paragraph">
                  <wp:posOffset>92710</wp:posOffset>
                </wp:positionV>
                <wp:extent cx="747395" cy="497840"/>
                <wp:effectExtent l="0" t="0" r="0" b="0"/>
                <wp:wrapNone/>
                <wp:docPr id="12" name="Frame9"/>
                <a:graphic xmlns:a="http://schemas.openxmlformats.org/drawingml/2006/main">
                  <a:graphicData uri="http://schemas.microsoft.com/office/word/2010/wordprocessingShape">
                    <wps:wsp>
                      <wps:cNvSpPr txBox="1"/>
                      <wps:spPr>
                        <a:xfrm>
                          <a:off x="0" y="0"/>
                          <a:ext cx="747395" cy="497840"/>
                        </a:xfrm>
                        <a:prstGeom prst="rect"/>
                        <a:solidFill>
                          <a:srgbClr val="FFFFFF"/>
                        </a:solidFill>
                        <a:ln w="9525">
                          <a:solidFill>
                            <a:srgbClr val="000000"/>
                          </a:solidFill>
                        </a:ln>
                      </wps:spPr>
                      <wps:txbx>
                        <w:txbxContent>
                          <w:p>
                            <w:pPr>
                              <w:pStyle w:val="Normal"/>
                              <w:spacing w:before="60" w:after="60"/>
                              <w:jc w:val="center"/>
                              <w:rPr>
                                <w:rFonts w:ascii="Arial" w:hAnsi="Arial" w:cs="Arial"/>
                                <w:sz w:val="16"/>
                              </w:rPr>
                            </w:pPr>
                            <w:r>
                              <w:rPr>
                                <w:rFonts w:cs="Arial" w:ascii="Arial" w:hAnsi="Arial"/>
                                <w:sz w:val="16"/>
                              </w:rPr>
                              <w:t>ENA JPY/USD Book</w:t>
                            </w:r>
                          </w:p>
                        </w:txbxContent>
                      </wps:txbx>
                      <wps:bodyPr anchor="t" lIns="91440" tIns="45720" rIns="91440" bIns="45720">
                        <a:noAutofit/>
                      </wps:bodyPr>
                    </wps:wsp>
                  </a:graphicData>
                </a:graphic>
              </wp:anchor>
            </w:drawing>
          </mc:Choice>
          <mc:Fallback>
            <w:pict>
              <v:rect fillcolor="#FFFFFF" strokecolor="#000000" strokeweight="0pt" style="position:absolute;rotation:-0;width:58.85pt;height:39.2pt;mso-wrap-distance-left:9.05pt;mso-wrap-distance-right:9.05pt;mso-wrap-distance-top:0pt;mso-wrap-distance-bottom:0pt;margin-top:7.3pt;mso-position-vertical-relative:text;margin-left:141.4pt;mso-position-horizontal-relative:text">
                <v:textbox>
                  <w:txbxContent>
                    <w:p>
                      <w:pPr>
                        <w:pStyle w:val="Normal"/>
                        <w:spacing w:before="60" w:after="60"/>
                        <w:jc w:val="center"/>
                        <w:rPr>
                          <w:rFonts w:ascii="Arial" w:hAnsi="Arial" w:cs="Arial"/>
                          <w:sz w:val="16"/>
                        </w:rPr>
                      </w:pPr>
                      <w:r>
                        <w:rPr>
                          <w:rFonts w:cs="Arial" w:ascii="Arial" w:hAnsi="Arial"/>
                          <w:sz w:val="16"/>
                        </w:rPr>
                        <w:t>ENA JPY/USD Book</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2740025</wp:posOffset>
                </wp:positionH>
                <wp:positionV relativeFrom="paragraph">
                  <wp:posOffset>22860</wp:posOffset>
                </wp:positionV>
                <wp:extent cx="533400" cy="313055"/>
                <wp:effectExtent l="0" t="0" r="0" b="0"/>
                <wp:wrapNone/>
                <wp:docPr id="13" name="Frame8"/>
                <a:graphic xmlns:a="http://schemas.openxmlformats.org/drawingml/2006/main">
                  <a:graphicData uri="http://schemas.microsoft.com/office/word/2010/wordprocessingShape">
                    <wps:wsp>
                      <wps:cNvSpPr txBox="1"/>
                      <wps:spPr>
                        <a:xfrm>
                          <a:off x="0" y="0"/>
                          <a:ext cx="533400" cy="313055"/>
                        </a:xfrm>
                        <a:prstGeom prst="rect"/>
                        <a:solidFill>
                          <a:srgbClr val="FFFFFF">
                            <a:alpha val="0"/>
                          </a:srgbClr>
                        </a:solidFill>
                      </wps:spPr>
                      <wps:txbx>
                        <w:txbxContent>
                          <w:p>
                            <w:pPr>
                              <w:pStyle w:val="Normal"/>
                              <w:spacing w:before="60" w:after="60"/>
                              <w:jc w:val="center"/>
                              <w:rPr>
                                <w:rFonts w:ascii="Arial" w:hAnsi="Arial" w:cs="Arial"/>
                                <w:sz w:val="12"/>
                              </w:rPr>
                            </w:pPr>
                            <w:r>
                              <w:rPr>
                                <w:rFonts w:cs="Arial" w:ascii="Arial" w:hAnsi="Arial"/>
                                <w:sz w:val="12"/>
                              </w:rPr>
                              <w:t>JPY/USD Hedge</w:t>
                            </w:r>
                          </w:p>
                        </w:txbxContent>
                      </wps:txbx>
                      <wps:bodyPr anchor="t" lIns="92075" tIns="46355" rIns="92075" bIns="46355">
                        <a:noAutofit/>
                      </wps:bodyPr>
                    </wps:wsp>
                  </a:graphicData>
                </a:graphic>
              </wp:anchor>
            </w:drawing>
          </mc:Choice>
          <mc:Fallback>
            <w:pict>
              <v:rect fillcolor="#FFFFFF" style="position:absolute;rotation:-0;width:42pt;height:24.65pt;mso-wrap-distance-left:9.05pt;mso-wrap-distance-right:9.05pt;mso-wrap-distance-top:0pt;mso-wrap-distance-bottom:0pt;margin-top:1.8pt;mso-position-vertical-relative:text;margin-left:215.75pt;mso-position-horizontal-relative:text">
                <v:fill opacity="0f"/>
                <v:textbox inset="0.100694444444444in,0.0506944444444444in,0.100694444444444in,0.0506944444444444in">
                  <w:txbxContent>
                    <w:p>
                      <w:pPr>
                        <w:pStyle w:val="Normal"/>
                        <w:spacing w:before="60" w:after="60"/>
                        <w:jc w:val="center"/>
                        <w:rPr>
                          <w:rFonts w:ascii="Arial" w:hAnsi="Arial" w:cs="Arial"/>
                          <w:sz w:val="12"/>
                        </w:rPr>
                      </w:pPr>
                      <w:r>
                        <w:rPr>
                          <w:rFonts w:cs="Arial" w:ascii="Arial" w:hAnsi="Arial"/>
                          <w:sz w:val="12"/>
                        </w:rPr>
                        <w:t>JPY/USD Hedge</w:t>
                      </w:r>
                    </w:p>
                  </w:txbxContent>
                </v:textbox>
                <w10:wrap type="none"/>
              </v:rect>
            </w:pict>
          </mc:Fallback>
        </mc:AlternateContent>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rFonts w:ascii="Arial" w:hAnsi="Arial" w:cs="Arial"/>
          <w:sz w:val="18"/>
        </w:rPr>
      </w:pPr>
      <w:r>
        <w:rPr>
          <w:rFonts w:cs="Arial" w:ascii="Arial" w:hAnsi="Arial"/>
          <w:sz w:val="18"/>
        </w:rPr>
        <mc:AlternateContent>
          <mc:Choice Requires="wps">
            <w:drawing>
              <wp:anchor behindDoc="0" distT="0" distB="0" distL="114935" distR="114935" simplePos="0" locked="0" layoutInCell="1" allowOverlap="1" relativeHeight="15">
                <wp:simplePos x="0" y="0"/>
                <wp:positionH relativeFrom="column">
                  <wp:posOffset>3688715</wp:posOffset>
                </wp:positionH>
                <wp:positionV relativeFrom="paragraph">
                  <wp:posOffset>261620</wp:posOffset>
                </wp:positionV>
                <wp:extent cx="7620" cy="550545"/>
                <wp:effectExtent l="37465" t="635" r="31750" b="0"/>
                <wp:wrapNone/>
                <wp:docPr id="14" name=""/>
                <a:graphic xmlns:a="http://schemas.openxmlformats.org/drawingml/2006/main">
                  <a:graphicData uri="http://schemas.microsoft.com/office/word/2010/wordprocessingShape">
                    <wps:wsp>
                      <wps:cNvSpPr/>
                      <wps:spPr>
                        <a:xfrm flipH="1">
                          <a:off x="0" y="0"/>
                          <a:ext cx="7560" cy="550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0.45pt,20.6pt" to="291pt,63.9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2566035</wp:posOffset>
                </wp:positionH>
                <wp:positionV relativeFrom="paragraph">
                  <wp:posOffset>37465</wp:posOffset>
                </wp:positionV>
                <wp:extent cx="728345" cy="0"/>
                <wp:effectExtent l="0" t="38100" r="0" b="38100"/>
                <wp:wrapNone/>
                <wp:docPr id="15" name=""/>
                <a:graphic xmlns:a="http://schemas.openxmlformats.org/drawingml/2006/main">
                  <a:graphicData uri="http://schemas.microsoft.com/office/word/2010/wordprocessingShape">
                    <wps:wsp>
                      <wps:cNvSpPr/>
                      <wps:spPr>
                        <a:xfrm flipH="1">
                          <a:off x="0" y="0"/>
                          <a:ext cx="728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05pt,2.95pt" to="259.35pt,2.95pt" stroked="t" o:allowincell="f" style="position:absolute;flip:x">
                <v:stroke color="black" weight="9360" endarrow="block" endarrowwidth="medium" endarrowlength="medium" joinstyle="miter" endcap="flat"/>
                <v:fill o:detectmouseclick="t" on="false"/>
                <w10:wrap type="none"/>
              </v:line>
            </w:pict>
          </mc:Fallback>
        </mc:AlternateContent>
        <w:br/>
        <w:br/>
      </w:r>
      <w:r>
        <mc:AlternateContent>
          <mc:Choice Requires="wps">
            <w:drawing>
              <wp:anchor behindDoc="0" distT="0" distB="0" distL="114935" distR="114935" simplePos="0" locked="0" layoutInCell="1" allowOverlap="1" relativeHeight="6">
                <wp:simplePos x="0" y="0"/>
                <wp:positionH relativeFrom="column">
                  <wp:posOffset>1724025</wp:posOffset>
                </wp:positionH>
                <wp:positionV relativeFrom="paragraph">
                  <wp:posOffset>325120</wp:posOffset>
                </wp:positionV>
                <wp:extent cx="1335405" cy="1411605"/>
                <wp:effectExtent l="0" t="0" r="0" b="0"/>
                <wp:wrapNone/>
                <wp:docPr id="16" name="Frame12"/>
                <a:graphic xmlns:a="http://schemas.openxmlformats.org/drawingml/2006/main">
                  <a:graphicData uri="http://schemas.microsoft.com/office/word/2010/wordprocessingShape">
                    <wps:wsp>
                      <wps:cNvSpPr txBox="1"/>
                      <wps:spPr>
                        <a:xfrm>
                          <a:off x="0" y="0"/>
                          <a:ext cx="1335405" cy="1411605"/>
                        </a:xfrm>
                        <a:prstGeom prst="rect"/>
                        <a:solidFill>
                          <a:srgbClr val="FFFFFF">
                            <a:alpha val="0"/>
                          </a:srgbClr>
                        </a:solidFill>
                      </wps:spPr>
                      <wps:txbx>
                        <w:txbxContent>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New position is created by automatic hedge with ENA</w:t>
                            </w:r>
                          </w:p>
                          <w:p>
                            <w:pPr>
                              <w:pStyle w:val="Normal"/>
                              <w:numPr>
                                <w:ilvl w:val="0"/>
                                <w:numId w:val="2"/>
                              </w:numPr>
                              <w:tabs>
                                <w:tab w:val="clear" w:pos="720"/>
                              </w:tabs>
                              <w:spacing w:before="0" w:after="20"/>
                              <w:ind w:hanging="187" w:start="187" w:end="0"/>
                              <w:rPr>
                                <w:rFonts w:ascii="Arial" w:hAnsi="Arial" w:cs="Arial"/>
                                <w:sz w:val="16"/>
                              </w:rPr>
                            </w:pPr>
                            <w:r>
                              <w:rPr>
                                <w:rFonts w:cs="Arial" w:ascii="Arial" w:hAnsi="Arial"/>
                                <w:sz w:val="12"/>
                              </w:rPr>
                              <w:t>Trader hedges FX exposure back-to-back in the market</w:t>
                            </w:r>
                          </w:p>
                          <w:p>
                            <w:pPr>
                              <w:pStyle w:val="Normal"/>
                              <w:numPr>
                                <w:ilvl w:val="0"/>
                                <w:numId w:val="2"/>
                              </w:numPr>
                              <w:tabs>
                                <w:tab w:val="clear" w:pos="720"/>
                              </w:tabs>
                              <w:spacing w:before="0" w:after="20"/>
                              <w:ind w:hanging="187" w:start="187" w:end="0"/>
                              <w:rPr>
                                <w:rFonts w:ascii="Arial" w:hAnsi="Arial" w:cs="Arial"/>
                                <w:sz w:val="16"/>
                              </w:rPr>
                            </w:pPr>
                            <w:r>
                              <w:rPr>
                                <w:rFonts w:cs="Arial" w:ascii="Arial" w:hAnsi="Arial"/>
                                <w:sz w:val="12"/>
                              </w:rPr>
                              <w:t>No FX risk remains in FX book</w:t>
                            </w:r>
                          </w:p>
                          <w:p>
                            <w:pPr>
                              <w:pStyle w:val="Normal"/>
                              <w:numPr>
                                <w:ilvl w:val="0"/>
                                <w:numId w:val="2"/>
                              </w:numPr>
                              <w:tabs>
                                <w:tab w:val="clear" w:pos="720"/>
                              </w:tabs>
                              <w:spacing w:before="0" w:after="20"/>
                              <w:ind w:hanging="187" w:start="187" w:end="0"/>
                              <w:rPr>
                                <w:rFonts w:ascii="Arial" w:hAnsi="Arial" w:cs="Arial"/>
                                <w:sz w:val="16"/>
                              </w:rPr>
                            </w:pPr>
                            <w:r>
                              <w:rPr>
                                <w:rFonts w:cs="Arial" w:ascii="Arial" w:hAnsi="Arial"/>
                                <w:sz w:val="12"/>
                              </w:rPr>
                              <w:t>Trader captures the executed FX trade in MoneyPenny manually</w:t>
                            </w:r>
                          </w:p>
                        </w:txbxContent>
                      </wps:txbx>
                      <wps:bodyPr anchor="t" lIns="92075" tIns="46355" rIns="92075" bIns="46355">
                        <a:noAutofit/>
                      </wps:bodyPr>
                    </wps:wsp>
                  </a:graphicData>
                </a:graphic>
              </wp:anchor>
            </w:drawing>
          </mc:Choice>
          <mc:Fallback>
            <w:pict>
              <v:rect fillcolor="#FFFFFF" style="position:absolute;rotation:-0;width:105.15pt;height:111.15pt;mso-wrap-distance-left:9.05pt;mso-wrap-distance-right:9.05pt;mso-wrap-distance-top:0pt;mso-wrap-distance-bottom:0pt;margin-top:25.6pt;mso-position-vertical-relative:text;margin-left:135.75pt;mso-position-horizontal-relative:text">
                <v:fill opacity="0f"/>
                <v:textbox inset="0.100694444444444in,0.0506944444444444in,0.100694444444444in,0.0506944444444444in">
                  <w:txbxContent>
                    <w:p>
                      <w:pPr>
                        <w:pStyle w:val="Normal"/>
                        <w:numPr>
                          <w:ilvl w:val="0"/>
                          <w:numId w:val="2"/>
                        </w:numPr>
                        <w:tabs>
                          <w:tab w:val="clear" w:pos="720"/>
                        </w:tabs>
                        <w:spacing w:before="0" w:after="20"/>
                        <w:ind w:hanging="187" w:start="187" w:end="0"/>
                        <w:rPr>
                          <w:rFonts w:ascii="Arial" w:hAnsi="Arial" w:cs="Arial"/>
                          <w:sz w:val="12"/>
                        </w:rPr>
                      </w:pPr>
                      <w:r>
                        <w:rPr>
                          <w:rFonts w:cs="Arial" w:ascii="Arial" w:hAnsi="Arial"/>
                          <w:sz w:val="12"/>
                        </w:rPr>
                        <w:t>New position is created by automatic hedge with ENA</w:t>
                      </w:r>
                    </w:p>
                    <w:p>
                      <w:pPr>
                        <w:pStyle w:val="Normal"/>
                        <w:numPr>
                          <w:ilvl w:val="0"/>
                          <w:numId w:val="2"/>
                        </w:numPr>
                        <w:tabs>
                          <w:tab w:val="clear" w:pos="720"/>
                        </w:tabs>
                        <w:spacing w:before="0" w:after="20"/>
                        <w:ind w:hanging="187" w:start="187" w:end="0"/>
                        <w:rPr>
                          <w:rFonts w:ascii="Arial" w:hAnsi="Arial" w:cs="Arial"/>
                          <w:sz w:val="16"/>
                        </w:rPr>
                      </w:pPr>
                      <w:r>
                        <w:rPr>
                          <w:rFonts w:cs="Arial" w:ascii="Arial" w:hAnsi="Arial"/>
                          <w:sz w:val="12"/>
                        </w:rPr>
                        <w:t>Trader hedges FX exposure back-to-back in the market</w:t>
                      </w:r>
                    </w:p>
                    <w:p>
                      <w:pPr>
                        <w:pStyle w:val="Normal"/>
                        <w:numPr>
                          <w:ilvl w:val="0"/>
                          <w:numId w:val="2"/>
                        </w:numPr>
                        <w:tabs>
                          <w:tab w:val="clear" w:pos="720"/>
                        </w:tabs>
                        <w:spacing w:before="0" w:after="20"/>
                        <w:ind w:hanging="187" w:start="187" w:end="0"/>
                        <w:rPr>
                          <w:rFonts w:ascii="Arial" w:hAnsi="Arial" w:cs="Arial"/>
                          <w:sz w:val="16"/>
                        </w:rPr>
                      </w:pPr>
                      <w:r>
                        <w:rPr>
                          <w:rFonts w:cs="Arial" w:ascii="Arial" w:hAnsi="Arial"/>
                          <w:sz w:val="12"/>
                        </w:rPr>
                        <w:t>No FX risk remains in FX book</w:t>
                      </w:r>
                    </w:p>
                    <w:p>
                      <w:pPr>
                        <w:pStyle w:val="Normal"/>
                        <w:numPr>
                          <w:ilvl w:val="0"/>
                          <w:numId w:val="2"/>
                        </w:numPr>
                        <w:tabs>
                          <w:tab w:val="clear" w:pos="720"/>
                        </w:tabs>
                        <w:spacing w:before="0" w:after="20"/>
                        <w:ind w:hanging="187" w:start="187" w:end="0"/>
                        <w:rPr>
                          <w:rFonts w:ascii="Arial" w:hAnsi="Arial" w:cs="Arial"/>
                          <w:sz w:val="16"/>
                        </w:rPr>
                      </w:pPr>
                      <w:r>
                        <w:rPr>
                          <w:rFonts w:cs="Arial" w:ascii="Arial" w:hAnsi="Arial"/>
                          <w:sz w:val="12"/>
                        </w:rPr>
                        <w:t>Trader captures the executed FX trade in MoneyPenny manually</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3237230</wp:posOffset>
                </wp:positionH>
                <wp:positionV relativeFrom="paragraph">
                  <wp:posOffset>366395</wp:posOffset>
                </wp:positionV>
                <wp:extent cx="482600" cy="313055"/>
                <wp:effectExtent l="0" t="0" r="0" b="0"/>
                <wp:wrapNone/>
                <wp:docPr id="17" name="Frame11"/>
                <a:graphic xmlns:a="http://schemas.openxmlformats.org/drawingml/2006/main">
                  <a:graphicData uri="http://schemas.microsoft.com/office/word/2010/wordprocessingShape">
                    <wps:wsp>
                      <wps:cNvSpPr txBox="1"/>
                      <wps:spPr>
                        <a:xfrm>
                          <a:off x="0" y="0"/>
                          <a:ext cx="482600" cy="313055"/>
                        </a:xfrm>
                        <a:prstGeom prst="rect"/>
                        <a:solidFill>
                          <a:srgbClr val="FFFFFF">
                            <a:alpha val="0"/>
                          </a:srgbClr>
                        </a:solidFill>
                      </wps:spPr>
                      <wps:txbx>
                        <w:txbxContent>
                          <w:p>
                            <w:pPr>
                              <w:pStyle w:val="Normal"/>
                              <w:spacing w:before="60" w:after="60"/>
                              <w:jc w:val="end"/>
                              <w:rPr>
                                <w:rFonts w:ascii="Arial" w:hAnsi="Arial" w:cs="Arial"/>
                                <w:sz w:val="12"/>
                              </w:rPr>
                            </w:pPr>
                            <w:r>
                              <w:rPr>
                                <w:rFonts w:cs="Arial" w:ascii="Arial" w:hAnsi="Arial"/>
                                <w:sz w:val="12"/>
                              </w:rPr>
                              <w:t>USD/bbl trade</w:t>
                            </w:r>
                          </w:p>
                        </w:txbxContent>
                      </wps:txbx>
                      <wps:bodyPr anchor="t" lIns="92075" tIns="46355" rIns="92075" bIns="46355">
                        <a:noAutofit/>
                      </wps:bodyPr>
                    </wps:wsp>
                  </a:graphicData>
                </a:graphic>
              </wp:anchor>
            </w:drawing>
          </mc:Choice>
          <mc:Fallback>
            <w:pict>
              <v:rect fillcolor="#FFFFFF" style="position:absolute;rotation:-0;width:38pt;height:24.65pt;mso-wrap-distance-left:9.05pt;mso-wrap-distance-right:9.05pt;mso-wrap-distance-top:0pt;mso-wrap-distance-bottom:0pt;margin-top:28.85pt;mso-position-vertical-relative:text;margin-left:254.9pt;mso-position-horizontal-relative:text">
                <v:fill opacity="0f"/>
                <v:textbox inset="0.100694444444444in,0.0506944444444444in,0.100694444444444in,0.0506944444444444in">
                  <w:txbxContent>
                    <w:p>
                      <w:pPr>
                        <w:pStyle w:val="Normal"/>
                        <w:spacing w:before="60" w:after="60"/>
                        <w:jc w:val="end"/>
                        <w:rPr>
                          <w:rFonts w:ascii="Arial" w:hAnsi="Arial" w:cs="Arial"/>
                          <w:sz w:val="12"/>
                        </w:rPr>
                      </w:pPr>
                      <w:r>
                        <w:rPr>
                          <w:rFonts w:cs="Arial" w:ascii="Arial" w:hAnsi="Arial"/>
                          <w:sz w:val="12"/>
                        </w:rPr>
                        <w:t>USD/bbl trade</w:t>
                      </w:r>
                    </w:p>
                  </w:txbxContent>
                </v:textbox>
                <w10:wrap type="none"/>
              </v:rect>
            </w:pict>
          </mc:Fallback>
        </mc:AlternateContent>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rFonts w:ascii="Arial" w:hAnsi="Arial" w:cs="Arial"/>
          <w:sz w:val="18"/>
        </w:rPr>
      </w:pPr>
      <w:r>
        <w:rPr>
          <w:rFonts w:cs="Arial" w:ascii="Arial" w:hAnsi="Arial"/>
          <w:sz w:val="18"/>
        </w:rPr>
        <w:br/>
        <w:br/>
        <w:br/>
        <w:br/>
        <w:br/>
        <w:br/>
        <w:br/>
        <w:br/>
        <w:t xml:space="preserve">EOL hedges the commodity price exposure automatically by entering into an offsetting transaction in the underlying basis product (US WTI Swap) as quoted on EOL. EOL executes this hedging transaction on behalf of ENA. </w:t>
        <w:br/>
        <w:br/>
        <w:t xml:space="preserve">Subsequently, EOL calculates the FX exposure of both WTI Swap  transactions (fixed leg of the JPY WTI Swap). As the FX rates provided by the external data link represent firm two way quotes from Hickerson’s FX team, EOL automatically executes an FX transaction with Hickerson’s group at the last FX rate provided to EOL. This transaction transfers the FX exposure into the ENA JPY/USD book.  Enron Metals traders provide this service during Tokyo business hours. The Enron Metals traders act as agents for Gary Hickerson’s group. </w:t>
        <w:br/>
        <w:br/>
        <w:t xml:space="preserve">The rounding of the contract volume leads to imperfect hedges leaving a maximum of 50 kl or 314 barrel per transaction exposed to commodity price changes. </w:t>
        <w:br/>
        <w:br/>
        <w:t xml:space="preserve">This residual risk can be hedged as the number of transactions increases. Any accumulated exposure of 1000 bbl  (every fourth JPY WTI Swap transaction) can be hedged by additional transactions in NYMEX WTI front month contracts. Assuming the largest price movement in front month of 12.04 USD/bbl this corresponds to a maximum exposure of 11,342 USD </w:t>
        <w:br/>
        <w:t xml:space="preserve">(3 x 314 bbl x 12.04 USD/bbl). </w:t>
        <w:br/>
        <w:br/>
        <w:t>In addition, the volume incongruence leads to imperfect FX hedges. The unhedged volumes remain exposed to the difference between the forward exchange rate at the day of transaction and the spot exchange rate at settlement day.</w:t>
        <w:br/>
        <w:br/>
        <w:t xml:space="preserve">When the NYMEX front month settlement price is determined it needs to be converted into JPY. To minimize the FX exposure between WTI contact settlement and Yen settlement with the counterparty, the USD per barrel settlement price is converted into JPY per kiloliter at the latest possible point in time.  Invoicing and the transfer of funds need at least two business days. Therefore the USD per barrel settlement price is converted into JPY per kiloliter at the third business day after the USD per barrel settlement price is determined. The payment day is set two business days after the determination of the JPY per kiloliter price.  </w:t>
        <w:br/>
        <w:br/>
        <w:t>On the payment day, the Settlement of the JPY WTI Swap occurs 14 or 15 hours earlier than the settlement of the USD WTI Swap due to the time zone differences. This exposes the JPY nominated payments/receivables to changes in the FX spot rate.</w:t>
        <w:br/>
        <w:t xml:space="preserve"> </w:t>
        <w:br/>
        <w:t>All the above-mentioned FX exposure can be hedged, if required,  by additional FX forward transactions once the JPY nominated payments/ receivables are determined. Once the NYMEX WTI front month closing price of the defined settlement day is converted into JPY the remaining payment obligations/receivables are known. The FX exposure of this amount can be hedged by an additional forward transaction that expires at the desired payment date and time.</w:t>
        <w:br/>
        <w:t>The timely notification about the upcoming FX transaction and the actual execution of it remains to be solved. Product Control and Risk Management are working on an automated process currently.</w:t>
        <w:br/>
        <w:br/>
        <w:t>Finally there is a risk that the FX component of the product breaks down from 1) Telerate does not provide data, 2) Telerate does not provide data on a timely and accurate basis, 3) communication link to Telerate is disrupted and/or 4) the communication link between EOL and the FX trader breaks down. If any of the above occurs the posting of the JPY WTI Swap quotes need to be suspended.</w:t>
        <w:br/>
        <w:br/>
        <w:t>Product Control is evaluating to what extent the identification of the above-mentioned events and the quote suspension can be automated. At the current stage EOL offers the functionality to take quotes off-line if they move by more than a pre-specified amount or alternatively if they move by more than a pre-specified percentage from the last price posted. In addition, the external data link that provides the real time FX data to EOL is equipped with the functionality to include an additional spread to the retrieved market rates. Combined with the existing bid-offer spread for the USD WTI Swaps a sufficient margin exists.</w:t>
        <w:br/>
        <w:br/>
        <w:t>Regarding information from the FX desk in London (where the system was developed and is currently operational between London and Oslo), the above-mentioned events occured infrequently (less than six times during the last haft year) and are corrected quickly (within few seconds).</w:t>
      </w:r>
      <w:r>
        <mc:AlternateContent>
          <mc:Choice Requires="wps">
            <w:drawing>
              <wp:anchor behindDoc="0" distT="0" distB="0" distL="114935" distR="114935" simplePos="0" locked="0" layoutInCell="1" allowOverlap="1" relativeHeight="7">
                <wp:simplePos x="0" y="0"/>
                <wp:positionH relativeFrom="column">
                  <wp:posOffset>4148455</wp:posOffset>
                </wp:positionH>
                <wp:positionV relativeFrom="paragraph">
                  <wp:posOffset>148590</wp:posOffset>
                </wp:positionV>
                <wp:extent cx="1648460" cy="851535"/>
                <wp:effectExtent l="0" t="0" r="0" b="0"/>
                <wp:wrapNone/>
                <wp:docPr id="18" name="Frame14"/>
                <a:graphic xmlns:a="http://schemas.openxmlformats.org/drawingml/2006/main">
                  <a:graphicData uri="http://schemas.microsoft.com/office/word/2010/wordprocessingShape">
                    <wps:wsp>
                      <wps:cNvSpPr txBox="1"/>
                      <wps:spPr>
                        <a:xfrm>
                          <a:off x="0" y="0"/>
                          <a:ext cx="1648460" cy="851535"/>
                        </a:xfrm>
                        <a:prstGeom prst="rect"/>
                        <a:solidFill>
                          <a:srgbClr val="FFFFFF">
                            <a:alpha val="0"/>
                          </a:srgbClr>
                        </a:solidFill>
                      </wps:spPr>
                      <wps:txbx>
                        <w:txbxContent>
                          <w:p>
                            <w:pPr>
                              <w:pStyle w:val="Normal"/>
                              <w:numPr>
                                <w:ilvl w:val="0"/>
                                <w:numId w:val="2"/>
                              </w:numPr>
                              <w:tabs>
                                <w:tab w:val="clear" w:pos="720"/>
                              </w:tabs>
                              <w:spacing w:before="0" w:after="40"/>
                              <w:ind w:hanging="187" w:start="187" w:end="0"/>
                              <w:rPr>
                                <w:rFonts w:ascii="Arial" w:hAnsi="Arial" w:cs="Arial"/>
                                <w:sz w:val="12"/>
                              </w:rPr>
                            </w:pPr>
                            <w:r>
                              <w:rPr>
                                <w:rFonts w:cs="Arial" w:ascii="Arial" w:hAnsi="Arial"/>
                                <w:sz w:val="12"/>
                              </w:rPr>
                              <w:t>JPY WTI Swap and off-setting USD WTI Swap as well as the FX hedge are place in ENA EOL WTI Swap Book</w:t>
                            </w:r>
                          </w:p>
                          <w:p>
                            <w:pPr>
                              <w:pStyle w:val="Normal"/>
                              <w:numPr>
                                <w:ilvl w:val="0"/>
                                <w:numId w:val="2"/>
                              </w:numPr>
                              <w:tabs>
                                <w:tab w:val="clear" w:pos="720"/>
                              </w:tabs>
                              <w:spacing w:before="0" w:after="40"/>
                              <w:ind w:hanging="187" w:start="187" w:end="0"/>
                              <w:rPr>
                                <w:rFonts w:ascii="Arial" w:hAnsi="Arial" w:cs="Arial"/>
                                <w:sz w:val="12"/>
                              </w:rPr>
                            </w:pPr>
                            <w:r>
                              <w:rPr>
                                <w:rFonts w:cs="Arial" w:ascii="Arial" w:hAnsi="Arial"/>
                                <w:sz w:val="12"/>
                              </w:rPr>
                              <w:t>Residual commodity price and FX risk resulting from volumes rounding and timing incongruence of payments remains in ENA EOL WTI Swap Book</w:t>
                            </w:r>
                          </w:p>
                        </w:txbxContent>
                      </wps:txbx>
                      <wps:bodyPr anchor="t" lIns="92075" tIns="46355" rIns="92075" bIns="46355">
                        <a:noAutofit/>
                      </wps:bodyPr>
                    </wps:wsp>
                  </a:graphicData>
                </a:graphic>
              </wp:anchor>
            </w:drawing>
          </mc:Choice>
          <mc:Fallback>
            <w:pict>
              <v:rect fillcolor="#FFFFFF" style="position:absolute;rotation:-0;width:129.8pt;height:67.05pt;mso-wrap-distance-left:9.05pt;mso-wrap-distance-right:9.05pt;mso-wrap-distance-top:0pt;mso-wrap-distance-bottom:0pt;margin-top:11.7pt;mso-position-vertical-relative:text;margin-left:326.65pt;mso-position-horizontal-relative:text">
                <v:fill opacity="0f"/>
                <v:textbox inset="0.100694444444444in,0.0506944444444444in,0.100694444444444in,0.0506944444444444in">
                  <w:txbxContent>
                    <w:p>
                      <w:pPr>
                        <w:pStyle w:val="Normal"/>
                        <w:numPr>
                          <w:ilvl w:val="0"/>
                          <w:numId w:val="2"/>
                        </w:numPr>
                        <w:tabs>
                          <w:tab w:val="clear" w:pos="720"/>
                        </w:tabs>
                        <w:spacing w:before="0" w:after="40"/>
                        <w:ind w:hanging="187" w:start="187" w:end="0"/>
                        <w:rPr>
                          <w:rFonts w:ascii="Arial" w:hAnsi="Arial" w:cs="Arial"/>
                          <w:sz w:val="12"/>
                        </w:rPr>
                      </w:pPr>
                      <w:r>
                        <w:rPr>
                          <w:rFonts w:cs="Arial" w:ascii="Arial" w:hAnsi="Arial"/>
                          <w:sz w:val="12"/>
                        </w:rPr>
                        <w:t>JPY WTI Swap and off-setting USD WTI Swap as well as the FX hedge are place in ENA EOL WTI Swap Book</w:t>
                      </w:r>
                    </w:p>
                    <w:p>
                      <w:pPr>
                        <w:pStyle w:val="Normal"/>
                        <w:numPr>
                          <w:ilvl w:val="0"/>
                          <w:numId w:val="2"/>
                        </w:numPr>
                        <w:tabs>
                          <w:tab w:val="clear" w:pos="720"/>
                        </w:tabs>
                        <w:spacing w:before="0" w:after="40"/>
                        <w:ind w:hanging="187" w:start="187" w:end="0"/>
                        <w:rPr>
                          <w:rFonts w:ascii="Arial" w:hAnsi="Arial" w:cs="Arial"/>
                          <w:sz w:val="12"/>
                        </w:rPr>
                      </w:pPr>
                      <w:r>
                        <w:rPr>
                          <w:rFonts w:cs="Arial" w:ascii="Arial" w:hAnsi="Arial"/>
                          <w:sz w:val="12"/>
                        </w:rPr>
                        <w:t>Residual commodity price and FX risk resulting from volumes rounding and timing incongruence of payments remains in ENA EOL WTI Swap Book</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3347720</wp:posOffset>
                </wp:positionH>
                <wp:positionV relativeFrom="paragraph">
                  <wp:posOffset>196215</wp:posOffset>
                </wp:positionV>
                <wp:extent cx="747395" cy="473710"/>
                <wp:effectExtent l="0" t="0" r="0" b="0"/>
                <wp:wrapNone/>
                <wp:docPr id="19" name="Frame13"/>
                <a:graphic xmlns:a="http://schemas.openxmlformats.org/drawingml/2006/main">
                  <a:graphicData uri="http://schemas.microsoft.com/office/word/2010/wordprocessingShape">
                    <wps:wsp>
                      <wps:cNvSpPr txBox="1"/>
                      <wps:spPr>
                        <a:xfrm>
                          <a:off x="0" y="0"/>
                          <a:ext cx="747395" cy="473710"/>
                        </a:xfrm>
                        <a:prstGeom prst="rect"/>
                        <a:solidFill>
                          <a:srgbClr val="FFFFFF"/>
                        </a:solidFill>
                        <a:ln w="9525">
                          <a:solidFill>
                            <a:srgbClr val="000000"/>
                          </a:solidFill>
                        </a:ln>
                      </wps:spPr>
                      <wps:txbx>
                        <w:txbxContent>
                          <w:p>
                            <w:pPr>
                              <w:pStyle w:val="Normal"/>
                              <w:spacing w:before="0" w:after="0"/>
                              <w:jc w:val="center"/>
                              <w:rPr>
                                <w:rFonts w:ascii="Arial" w:hAnsi="Arial" w:cs="Arial"/>
                                <w:sz w:val="14"/>
                              </w:rPr>
                            </w:pPr>
                            <w:r>
                              <w:rPr>
                                <w:rFonts w:cs="Arial" w:ascii="Arial" w:hAnsi="Arial"/>
                                <w:sz w:val="14"/>
                              </w:rPr>
                              <w:t xml:space="preserve">ENA </w:t>
                            </w:r>
                          </w:p>
                          <w:p>
                            <w:pPr>
                              <w:pStyle w:val="Normal"/>
                              <w:spacing w:before="0" w:after="0"/>
                              <w:jc w:val="center"/>
                              <w:rPr>
                                <w:rFonts w:ascii="Arial" w:hAnsi="Arial" w:cs="Arial"/>
                                <w:sz w:val="14"/>
                              </w:rPr>
                            </w:pPr>
                            <w:r>
                              <w:rPr>
                                <w:rFonts w:cs="Arial" w:ascii="Arial" w:hAnsi="Arial"/>
                                <w:sz w:val="14"/>
                              </w:rPr>
                              <w:t>EOL WTI Swap Book</w:t>
                            </w:r>
                          </w:p>
                        </w:txbxContent>
                      </wps:txbx>
                      <wps:bodyPr anchor="t" lIns="91440" tIns="45720" rIns="91440" bIns="45720">
                        <a:noAutofit/>
                      </wps:bodyPr>
                    </wps:wsp>
                  </a:graphicData>
                </a:graphic>
              </wp:anchor>
            </w:drawing>
          </mc:Choice>
          <mc:Fallback>
            <w:pict>
              <v:rect fillcolor="#FFFFFF" strokecolor="#000000" strokeweight="0pt" style="position:absolute;rotation:-0;width:58.85pt;height:37.3pt;mso-wrap-distance-left:9.05pt;mso-wrap-distance-right:9.05pt;mso-wrap-distance-top:0pt;mso-wrap-distance-bottom:0pt;margin-top:15.45pt;mso-position-vertical-relative:text;margin-left:263.6pt;mso-position-horizontal-relative:text">
                <v:textbox>
                  <w:txbxContent>
                    <w:p>
                      <w:pPr>
                        <w:pStyle w:val="Normal"/>
                        <w:spacing w:before="0" w:after="0"/>
                        <w:jc w:val="center"/>
                        <w:rPr>
                          <w:rFonts w:ascii="Arial" w:hAnsi="Arial" w:cs="Arial"/>
                          <w:sz w:val="14"/>
                        </w:rPr>
                      </w:pPr>
                      <w:r>
                        <w:rPr>
                          <w:rFonts w:cs="Arial" w:ascii="Arial" w:hAnsi="Arial"/>
                          <w:sz w:val="14"/>
                        </w:rPr>
                        <w:t xml:space="preserve">ENA </w:t>
                      </w:r>
                    </w:p>
                    <w:p>
                      <w:pPr>
                        <w:pStyle w:val="Normal"/>
                        <w:spacing w:before="0" w:after="0"/>
                        <w:jc w:val="center"/>
                        <w:rPr>
                          <w:rFonts w:ascii="Arial" w:hAnsi="Arial" w:cs="Arial"/>
                          <w:sz w:val="14"/>
                        </w:rPr>
                      </w:pPr>
                      <w:r>
                        <w:rPr>
                          <w:rFonts w:cs="Arial" w:ascii="Arial" w:hAnsi="Arial"/>
                          <w:sz w:val="14"/>
                        </w:rPr>
                        <w:t>EOL WTI Swap Book</w:t>
                      </w:r>
                    </w:p>
                  </w:txbxContent>
                </v:textbox>
                <w10:wrap type="none"/>
              </v:rect>
            </w:pict>
          </mc:Fallback>
        </mc:AlternateContent>
      </w:r>
    </w:p>
    <w:p>
      <w:pPr>
        <w:pStyle w:val="Normal"/>
        <w:spacing w:before="0" w:after="0"/>
        <w:ind w:hanging="2880" w:start="2880" w:end="0"/>
        <w:rPr>
          <w:rFonts w:ascii="Arial" w:hAnsi="Arial" w:cs="Arial"/>
          <w:sz w:val="18"/>
        </w:rPr>
      </w:pPr>
      <w:r>
        <w:rPr>
          <w:rFonts w:cs="Arial" w:ascii="Arial" w:hAnsi="Arial"/>
          <w:sz w:val="18"/>
        </w:rPr>
      </w:r>
    </w:p>
    <w:p>
      <w:pPr>
        <w:pStyle w:val="Normal"/>
        <w:spacing w:before="0" w:after="0"/>
        <w:ind w:hanging="2880" w:start="2880" w:end="0"/>
        <w:rPr>
          <w:rFonts w:ascii="Arial" w:hAnsi="Arial" w:cs="Arial"/>
          <w:sz w:val="18"/>
        </w:rPr>
      </w:pPr>
      <w:r>
        <w:rPr>
          <w:rFonts w:cs="Arial" w:ascii="Arial" w:hAnsi="Arial"/>
          <w:sz w:val="18"/>
        </w:rPr>
        <w:t>Back Office Operations:</w:t>
        <w:tab/>
        <w:t>JPY WTI Swap transactions are concluded by the same Enron entity and rest in the same risk books as the existing USD WTI Swaps do. Risk management, confirmation and settlement will occur as they do for the existing USD WTI Swap.</w:t>
        <w:br/>
        <w:br/>
        <w:t xml:space="preserve">MoneyPenny captures the JPY WTI Swap and the USD WTI hedge automatically as EOL automatically sends all relevant trade data into the BOND database. </w:t>
        <w:br/>
        <w:br/>
        <w:t>The FX trader captures the FX transactions by entering the transaction into MoneyPenny manually. FX risk management, confirmation and settlement will be handled by Gary Hickersens group and the groups supporting him.</w:t>
        <w:br/>
        <w:br/>
        <w:t>No modification of the IT systems is needed as existing systems are employed.</w:t>
      </w:r>
    </w:p>
    <w:sectPr>
      <w:headerReference w:type="default" r:id="rId6"/>
      <w:headerReference w:type="first" r:id="rId7"/>
      <w:footerReference w:type="default" r:id="rId8"/>
      <w:footerReference w:type="first" r:id="rId9"/>
      <w:type w:val="nextPage"/>
      <w:pgSz w:w="11906" w:h="16838"/>
      <w:pgMar w:left="1800" w:right="1800" w:gutter="0" w:header="720" w:top="1296"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rutiger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October 31, 2001</w:t>
    </w:r>
  </w:p>
  <w:p>
    <w:pPr>
      <w:pStyle w:val="Header"/>
      <w:rPr>
        <w:rFonts w:ascii="Arial" w:hAnsi="Arial" w:cs="Arial"/>
      </w:rPr>
    </w:pPr>
    <w:r>
      <w:rPr>
        <w:rFonts w:cs="Arial" w:ascii="Arial" w:hAnsi="Arial"/>
      </w:rPr>
      <w:tab/>
    </w:r>
  </w:p>
  <w:p>
    <w:pPr>
      <w:pStyle w:val="Header"/>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spacing w:before="0" w:after="0"/>
      <w:outlineLvl w:val="3"/>
    </w:pPr>
    <w:rPr>
      <w:i/>
      <w:sz w:val="24"/>
    </w:rPr>
  </w:style>
  <w:style w:type="paragraph" w:styleId="Heading5">
    <w:name w:val="heading 5"/>
    <w:basedOn w:val="Normal"/>
    <w:next w:val="Normal"/>
    <w:qFormat/>
    <w:pPr>
      <w:keepNext w:val="true"/>
      <w:numPr>
        <w:ilvl w:val="4"/>
        <w:numId w:val="1"/>
      </w:numPr>
      <w:spacing w:before="0" w:after="0"/>
      <w:outlineLvl w:val="4"/>
    </w:pPr>
    <w:rPr>
      <w:rFonts w:ascii="Arial" w:hAnsi="Arial" w:cs="Arial"/>
      <w:b/>
      <w:bCs/>
      <w:sz w:val="16"/>
    </w:rPr>
  </w:style>
  <w:style w:type="paragraph" w:styleId="Heading6">
    <w:name w:val="heading 6"/>
    <w:basedOn w:val="Normal"/>
    <w:next w:val="Normal"/>
    <w:qFormat/>
    <w:pPr>
      <w:keepNext w:val="true"/>
      <w:numPr>
        <w:ilvl w:val="5"/>
        <w:numId w:val="1"/>
      </w:numPr>
      <w:autoSpaceDE w:val="false"/>
      <w:spacing w:before="0" w:after="0"/>
      <w:ind w:hanging="187" w:start="187" w:end="0"/>
      <w:jc w:val="center"/>
      <w:outlineLvl w:val="5"/>
    </w:pPr>
    <w:rPr>
      <w:b/>
      <w:color w:val="000000"/>
      <w:sz w:val="16"/>
    </w:rPr>
  </w:style>
  <w:style w:type="paragraph" w:styleId="Heading7">
    <w:name w:val="heading 7"/>
    <w:basedOn w:val="Normal"/>
    <w:next w:val="Normal"/>
    <w:qFormat/>
    <w:pPr>
      <w:keepNext w:val="true"/>
      <w:numPr>
        <w:ilvl w:val="6"/>
        <w:numId w:val="1"/>
      </w:numPr>
      <w:autoSpaceDE w:val="false"/>
      <w:jc w:val="center"/>
      <w:outlineLvl w:val="6"/>
    </w:pPr>
    <w:rPr>
      <w:rFonts w:ascii="Arial" w:hAnsi="Arial" w:cs="Arial"/>
      <w:b/>
      <w:color w:val="00000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St8z0">
    <w:name w:val="WW8NumSt8z0"/>
    <w:qFormat/>
    <w:rPr>
      <w:rFonts w:ascii="Frutiger 45 Light" w:hAnsi="Frutiger 45 Light" w:cs="Frutiger 45 Light"/>
      <w:sz w:val="1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tLeast" w:line="180" w:before="0" w:after="220"/>
      <w:ind w:hanging="0" w:start="835" w:end="0"/>
      <w:jc w:val="both"/>
    </w:pPr>
    <w:rPr>
      <w:rFonts w:ascii="Arial" w:hAnsi="Arial" w:cs="Arial"/>
      <w:spacing w:val="-5"/>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2">
    <w:name w:val="Body Text 2"/>
    <w:basedOn w:val="Normal"/>
    <w:qFormat/>
    <w:pPr>
      <w:spacing w:before="0" w:after="0"/>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 w:val="left" w:pos="5760" w:leader="none"/>
      </w:tabs>
      <w:spacing w:before="0" w:after="0"/>
      <w:ind w:hanging="2880" w:start="2880" w:end="0"/>
    </w:pPr>
    <w:rPr>
      <w:rFonts w:ascii="Arial" w:hAnsi="Arial" w:cs="Arial"/>
      <w:color w:val="000000"/>
    </w:rPr>
  </w:style>
  <w:style w:type="paragraph" w:styleId="BodyTextIndent2">
    <w:name w:val="Body Text Indent 2"/>
    <w:basedOn w:val="Normal"/>
    <w:qFormat/>
    <w:pPr>
      <w:tabs>
        <w:tab w:val="clear" w:pos="720"/>
        <w:tab w:val="left" w:pos="2880" w:leader="none"/>
        <w:tab w:val="left" w:pos="5760" w:leader="none"/>
      </w:tabs>
      <w:spacing w:before="0" w:after="0"/>
      <w:ind w:hanging="2700" w:start="2700" w:end="0"/>
    </w:pPr>
    <w:rPr>
      <w:rFonts w:ascii="Arial" w:hAnsi="Arial" w:cs="Arial"/>
    </w:rPr>
  </w:style>
  <w:style w:type="paragraph" w:styleId="BodyTextIndent3">
    <w:name w:val="Body Text Indent 3"/>
    <w:basedOn w:val="Normal"/>
    <w:qFormat/>
    <w:pPr>
      <w:tabs>
        <w:tab w:val="clear" w:pos="720"/>
        <w:tab w:val="left" w:pos="2880" w:leader="none"/>
        <w:tab w:val="left" w:pos="5760" w:leader="none"/>
      </w:tabs>
      <w:spacing w:before="0" w:after="0"/>
      <w:ind w:hanging="2790" w:start="2790" w:end="0"/>
    </w:pPr>
    <w:rPr>
      <w:rFonts w:ascii="Arial" w:hAnsi="Arial" w:cs="Arial"/>
    </w:rPr>
  </w:style>
  <w:style w:type="paragraph" w:styleId="BodyText3">
    <w:name w:val="Body Text 3"/>
    <w:basedOn w:val="Normal"/>
    <w:qFormat/>
    <w:pPr>
      <w:spacing w:before="0" w:after="0"/>
      <w:ind w:hanging="0" w:start="0" w:end="5126"/>
    </w:pPr>
    <w:rPr>
      <w:rFonts w:ascii="Frutiger 45 Light" w:hAnsi="Frutiger 45 Light" w:cs="Frutiger 45 Light"/>
      <w:szCs w:val="24"/>
      <w:lang w:val="en-CA" w:eastAsia="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2001-10-31T20:43:00Z</dcterms:created>
  <dc:creator>EDC</dc:creator>
  <dc:description/>
  <dc:language>en-CA</dc:language>
  <cp:lastModifiedBy>jhirl</cp:lastModifiedBy>
  <cp:lastPrinted>2001-11-01T17:55:00Z</cp:lastPrinted>
  <dcterms:modified xsi:type="dcterms:W3CDTF">2001-11-01T06:40:00Z</dcterms:modified>
  <cp:revision>7</cp:revision>
  <dc:subject/>
  <dc:title>Enron International Memo</dc:title>
</cp:coreProperties>
</file>