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Forward Foreign Currency Swap Transactions</w:t>
      </w:r>
    </w:p>
    <w:p>
      <w:pPr>
        <w:pStyle w:val="Normal"/>
        <w:jc w:val="both"/>
        <w:rPr>
          <w:rFonts w:ascii="Arial" w:hAnsi="Arial" w:cs="Arial"/>
          <w:lang w:eastAsia="en-US"/>
        </w:rPr>
      </w:pPr>
      <w:r>
        <w:rPr>
          <w:rFonts w:cs="Arial" w:ascii="Arial" w:hAnsi="Arial"/>
          <w:lang w:eastAsia="en-US"/>
        </w:rPr>
      </w:r>
    </w:p>
    <w:p>
      <w:pPr>
        <w:pStyle w:val="Heading2"/>
        <w:ind w:hanging="0" w:start="0"/>
        <w:rPr>
          <w:rFonts w:ascii="Arial" w:hAnsi="Arial" w:cs="Arial"/>
          <w:sz w:val="20"/>
        </w:rPr>
      </w:pPr>
      <w:r>
        <w:rPr>
          <w:rFonts w:cs="Arial" w:ascii="Arial" w:hAnsi="Arial"/>
          <w:sz w:val="20"/>
          <w:rPrChange w:id="0" w:author="Unknown Author" w:date="0-00-00T00:00:00Z"/>
        </w:rPr>
        <w:t>Apr-Oct product</w:t>
      </w:r>
    </w:p>
    <w:p>
      <w:pPr>
        <w:pStyle w:val="Normal"/>
        <w:jc w:val="both"/>
        <w:rPr>
          <w:rFonts w:ascii="Arial" w:hAnsi="Arial" w:cs="Arial"/>
          <w:lang w:eastAsia="en-US"/>
        </w:rPr>
      </w:pPr>
      <w:r>
        <w:rPr>
          <w:rFonts w:cs="Arial" w:ascii="Arial" w:hAnsi="Arial"/>
          <w:lang w:eastAsia="en-US"/>
        </w:rPr>
        <w:t>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USD Amount submitted by the Counterparty via the Website divided by the number of Calculation Periods during the term of the Transaction. The Fixed Amount of CAD payable per Calculation Period shall equal the product of the Notional Amount per Calculation Period multiplied by the Fixed Forward Rate, which shall be the price submitted by the Counterparty via the Website. The Floating Amount of CAD payable per Calculation Period shall equal the product of the Notional Amount per Calculation Period multiplied by the Floating Settlement Rate.</w:t>
      </w:r>
    </w:p>
    <w:p>
      <w:pPr>
        <w:pStyle w:val="Normal"/>
        <w:jc w:val="both"/>
        <w:rPr>
          <w:rFonts w:ascii="Arial" w:hAnsi="Arial" w:cs="Arial"/>
          <w:lang w:eastAsia="en-US"/>
        </w:rPr>
      </w:pPr>
      <w:r>
        <w:rPr>
          <w:rFonts w:cs="Arial" w:ascii="Arial" w:hAnsi="Arial"/>
          <w:lang w:eastAsia="en-US"/>
        </w:rPr>
        <w:t>The Payment Date shall be the Business Day following the Valuation Date. The Valuation Date for each Calculation Period shall be the first Business Day of such Calculation Period.</w:t>
      </w:r>
    </w:p>
    <w:p>
      <w:pPr>
        <w:pStyle w:val="Normal"/>
        <w:jc w:val="both"/>
        <w:rPr>
          <w:rFonts w:ascii="Arial" w:hAnsi="Arial" w:cs="Arial"/>
          <w:lang w:eastAsia="en-US"/>
        </w:rPr>
      </w:pPr>
      <w:r>
        <w:rPr>
          <w:rFonts w:cs="Arial" w:ascii="Arial" w:hAnsi="Arial"/>
          <w:lang w:eastAsia="en-US"/>
        </w:rPr>
        <w:t>The term of the Transaction shall be from the Effective Date of 02 Apr 2001 to the Termination Date of 01 Oct 2001.</w:t>
      </w:r>
    </w:p>
    <w:p>
      <w:pPr>
        <w:pStyle w:val="Normal"/>
        <w:jc w:val="both"/>
        <w:rPr>
          <w:rFonts w:ascii="Arial" w:hAnsi="Arial" w:cs="Arial"/>
          <w:lang w:eastAsia="en-US"/>
        </w:rPr>
      </w:pPr>
      <w:r>
        <w:rPr>
          <w:rFonts w:cs="Arial" w:ascii="Arial" w:hAnsi="Arial"/>
          <w:lang w:eastAsia="en-US"/>
        </w:rPr>
        <w:t>The Floating Settlement Rate 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rFonts w:ascii="Arial" w:hAnsi="Arial" w:cs="Arial"/>
          <w:lang w:eastAsia="en-US"/>
        </w:rPr>
      </w:pPr>
      <w:r>
        <w:rPr>
          <w:rFonts w:cs="Arial" w:ascii="Arial" w:hAnsi="Arial"/>
          <w:lang w:eastAsia="en-US"/>
        </w:rPr>
        <w:t>The price is quoted in CAD per USD. CAD will be the Settlement Currency.</w:t>
      </w:r>
    </w:p>
    <w:p>
      <w:pPr>
        <w:pStyle w:val="Normal"/>
        <w:jc w:val="both"/>
        <w:rPr>
          <w:rFonts w:ascii="Arial" w:hAnsi="Arial" w:cs="Arial"/>
          <w:lang w:eastAsia="en-US"/>
        </w:rPr>
      </w:pPr>
      <w:r>
        <w:rPr>
          <w:rFonts w:cs="Arial" w:ascii="Arial" w:hAnsi="Arial"/>
          <w:lang w:eastAsia="en-US"/>
        </w:rPr>
      </w:r>
    </w:p>
    <w:p>
      <w:pPr>
        <w:pStyle w:val="Normal"/>
        <w:jc w:val="both"/>
        <w:rPr>
          <w:rFonts w:ascii="Arial" w:hAnsi="Arial" w:cs="Arial"/>
          <w:b/>
          <w:lang w:eastAsia="en-US"/>
        </w:rPr>
      </w:pPr>
      <w:r>
        <w:rPr>
          <w:rFonts w:cs="Arial" w:ascii="Arial" w:hAnsi="Arial"/>
          <w:b/>
          <w:lang w:eastAsia="en-US"/>
        </w:rPr>
        <w:t>May 1, 2001 (single day)</w:t>
      </w:r>
    </w:p>
    <w:p>
      <w:pPr>
        <w:pStyle w:val="Normal"/>
        <w:jc w:val="both"/>
        <w:rPr>
          <w:rFonts w:ascii="Arial" w:hAnsi="Arial" w:cs="Arial"/>
          <w:lang w:eastAsia="en-US"/>
        </w:rPr>
      </w:pPr>
      <w:r>
        <w:rPr>
          <w:rFonts w:cs="Arial" w:ascii="Arial" w:hAnsi="Arial"/>
          <w:lang w:eastAsia="en-US"/>
        </w:rPr>
        <w:t>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USD Amount submitted by the Counterparty via the Website divided by the number of Calculation Periods during the term of the Transaction. The Fixed Amount of CAD payable per Calculation Period shall equal the product of the Notional Amount per Calculation Period multiplied by the Fixed Forward Rate, which shall be the price submitted by the Counterparty via the Website. The Floating Amount of CAD payable per Calculation Period shall equal the product of the Notional Amount per Calculation Period multiplied by the the Floating Settlement Rate.</w:t>
      </w:r>
    </w:p>
    <w:p>
      <w:pPr>
        <w:pStyle w:val="Normal"/>
        <w:jc w:val="both"/>
        <w:rPr>
          <w:rFonts w:ascii="Arial" w:hAnsi="Arial" w:cs="Arial"/>
          <w:lang w:eastAsia="en-US"/>
        </w:rPr>
      </w:pPr>
      <w:r>
        <w:rPr>
          <w:rFonts w:cs="Arial" w:ascii="Arial" w:hAnsi="Arial"/>
          <w:lang w:eastAsia="en-US"/>
        </w:rPr>
        <w:t xml:space="preserve">The Payment Date shall be the Business Day following the Valuation Date. The Valuation Date shall be the date set forth in the Product description on the Website. </w:t>
      </w:r>
    </w:p>
    <w:p>
      <w:pPr>
        <w:pStyle w:val="Normal"/>
        <w:jc w:val="both"/>
        <w:rPr>
          <w:rFonts w:ascii="Arial" w:hAnsi="Arial" w:cs="Arial"/>
          <w:lang w:eastAsia="en-US"/>
        </w:rPr>
      </w:pPr>
      <w:r>
        <w:rPr>
          <w:rFonts w:cs="Arial" w:ascii="Arial" w:hAnsi="Arial"/>
          <w:lang w:eastAsia="en-US"/>
        </w:rPr>
        <w:t xml:space="preserve">The term of the Transaction shall be the date set forth in the Product description on the Website. </w:t>
      </w:r>
    </w:p>
    <w:p>
      <w:pPr>
        <w:pStyle w:val="Normal"/>
        <w:jc w:val="both"/>
        <w:rPr>
          <w:rFonts w:ascii="Arial" w:hAnsi="Arial" w:cs="Arial"/>
          <w:lang w:eastAsia="en-US"/>
        </w:rPr>
      </w:pPr>
      <w:r>
        <w:rPr>
          <w:rFonts w:cs="Arial" w:ascii="Arial" w:hAnsi="Arial"/>
          <w:lang w:eastAsia="en-US"/>
        </w:rPr>
        <w:t>The Floating Settlement Rate 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rFonts w:ascii="Arial" w:hAnsi="Arial" w:cs="Arial"/>
          <w:lang w:eastAsia="en-US"/>
        </w:rPr>
      </w:pPr>
      <w:r>
        <w:rPr>
          <w:rFonts w:cs="Arial" w:ascii="Arial" w:hAnsi="Arial"/>
          <w:lang w:eastAsia="en-US"/>
        </w:rPr>
        <w:t>The price is quoted in CAD per USD. CAD will be the Settlement Currency.</w:t>
      </w:r>
    </w:p>
    <w:p>
      <w:pPr>
        <w:pStyle w:val="Normal"/>
        <w:jc w:val="both"/>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MS Sans Serif" w:hAnsi="MS Sans Serif" w:cs="MS Sans Serif"/>
      <w:b/>
      <w:lang w:eastAsia="en-US"/>
    </w:rPr>
  </w:style>
  <w:style w:type="paragraph" w:styleId="Heading2">
    <w:name w:val="heading 2"/>
    <w:basedOn w:val="Normal"/>
    <w:next w:val="Normal"/>
    <w:qFormat/>
    <w:pPr>
      <w:keepNext w:val="true"/>
      <w:numPr>
        <w:ilvl w:val="1"/>
        <w:numId w:val="1"/>
      </w:numPr>
      <w:jc w:val="both"/>
      <w:outlineLvl w:val="1"/>
    </w:pPr>
    <w:rPr>
      <w:rFonts w:ascii="MS Sans Serif" w:hAnsi="MS Sans Serif" w:cs="MS Sans Serif"/>
      <w:b/>
      <w:sz w:val="1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2001-03-28T17:31:00Z</dcterms:created>
  <dc:creator>wstuart</dc:creator>
  <dc:description/>
  <dc:language>en-CA</dc:language>
  <cp:lastModifiedBy>jrostan</cp:lastModifiedBy>
  <cp:lastPrinted>2001-03-25T14:28:00Z</cp:lastPrinted>
  <dcterms:modified xsi:type="dcterms:W3CDTF">2001-03-28T17:31:00Z</dcterms:modified>
  <cp:revision>2</cp:revision>
  <dc:subject/>
  <dc:title>A currency Transaction with Risk Management &amp; Trading Corp</dc:title>
</cp:coreProperties>
</file>