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Producer One Outsourcing Update</w:t>
      </w:r>
    </w:p>
    <w:p>
      <w:pPr>
        <w:pStyle w:val="Normal"/>
        <w:rPr>
          <w:rFonts w:ascii="Arial" w:hAnsi="Arial" w:cs="Arial"/>
          <w:sz w:val="22"/>
        </w:rPr>
      </w:pPr>
      <w:r>
        <w:rPr>
          <w:rFonts w:cs="Arial" w:ascii="Arial" w:hAnsi="Arial"/>
          <w:sz w:val="22"/>
        </w:rPr>
      </w:r>
    </w:p>
    <w:p>
      <w:pPr>
        <w:pStyle w:val="Subtitle"/>
        <w:rPr/>
      </w:pPr>
      <w:r>
        <w:rPr/>
        <w:t>Background</w:t>
      </w:r>
    </w:p>
    <w:p>
      <w:pPr>
        <w:pStyle w:val="BodyText"/>
        <w:spacing w:before="120" w:after="0"/>
        <w:rPr/>
      </w:pPr>
      <w:r>
        <w:rPr/>
        <w:t xml:space="preserve">Enron’s Upstream Business Unit began its producer outsourcing effort a little over one year ago.  The basic premise of the business was to leverage Enron’s existing infrastructure to provide services to producers.  Over the past decade, Enron has invested heavily in systems and business processes to manage its gas business and is considered a leader in the industry.  Utilizing technology and existing systems Enron believed that it could offer a unique service to streamline many of the business challenges facing producers.  The service would integrate field acquisition of wellhead production data, gas volume management and finally E&amp;P accounting through royalty payments and general ledger entries.  Enron identified Applied Terravision Systems (ATS) as a leader in its field to provide the E&amp;P accounting functions.  Enron’s existing ownership in Hanover Measurement Services (HMS) provided the avenue to get field data.  Enron would be in the middle to provide the commodity management services, coordinate activities between the companies and insure that the data exchange between the companies occurred as promised.  </w:t>
      </w:r>
    </w:p>
    <w:p>
      <w:pPr>
        <w:pStyle w:val="BodyText"/>
        <w:spacing w:before="120" w:after="0"/>
        <w:rPr/>
      </w:pPr>
      <w:r>
        <w:rPr/>
        <w:t xml:space="preserve">It was envisioned that this outsourcing product would allow the producer to market its production at major pooling points.  Enron would handle all the day-to-day scheduling, balancing, settlement and other logistical matters.  The producer would enjoy the benefit of aggregating its production at a major hub offering greater liquidity and market access.  In addition, the producer would be able to grow its business without a disproportionate increase in staff or overhead.  Production management expenses related to production increases could be quantified using an outsourcing business model.  </w:t>
      </w:r>
    </w:p>
    <w:p>
      <w:pPr>
        <w:pStyle w:val="Normal"/>
        <w:spacing w:before="120" w:after="0"/>
        <w:rPr>
          <w:rFonts w:ascii="Arial" w:hAnsi="Arial" w:cs="Arial"/>
          <w:sz w:val="22"/>
        </w:rPr>
      </w:pPr>
      <w:r>
        <w:rPr>
          <w:rFonts w:cs="Arial" w:ascii="Arial" w:hAnsi="Arial"/>
          <w:sz w:val="22"/>
        </w:rPr>
        <w:t xml:space="preserve">Enron Canada has successfully initiated an upstream outsourcing business utilizing Canadian systems and personnel.  One aspect of the Enron Canada outsourcing business that was not initially part of the US Producer One program was the Wellhead Desk.  However, it was quickly determined that a wellhead desk was a critical part of any outsourcing effort.  Many producers wanted Enron to bid on the purchase of their wellhead gas.  Enron needed a desk to interface with producers in a manner consistent with other wellhead gas purchasers.  Enron’s existing desks were accustomed to buying firm gas at the major pooling points.  Wellhead purchases provide unique challenges related to the management of volume fluctuations.  In order to compete effectively a Wellhead Desk was created in March and John Grass was chosen to manage the desk.  John Grass reported to the Vice President of the Upstream Business Unit, Jean Mrha.  Existing wellhead purchases that the other desks were managing were shifted to the Wellhead Desk.  Initial wellhead volumes were in excess of 500,000 MMBtus per day, mainly from the offshore Gulf of Mexico.  </w:t>
      </w:r>
    </w:p>
    <w:p>
      <w:pPr>
        <w:pStyle w:val="Heading1"/>
        <w:spacing w:before="120" w:after="0"/>
        <w:ind w:hanging="0" w:start="0"/>
        <w:rPr/>
      </w:pPr>
      <w:r>
        <w:rPr/>
        <w:t>Producer One Issues and Discussion</w:t>
      </w:r>
    </w:p>
    <w:p>
      <w:pPr>
        <w:pStyle w:val="Normal"/>
        <w:spacing w:before="120" w:after="0"/>
        <w:rPr>
          <w:rFonts w:ascii="Arial" w:hAnsi="Arial" w:cs="Arial"/>
          <w:sz w:val="22"/>
        </w:rPr>
      </w:pPr>
      <w:r>
        <w:rPr>
          <w:rFonts w:cs="Arial" w:ascii="Arial" w:hAnsi="Arial"/>
          <w:sz w:val="22"/>
        </w:rPr>
        <w:t>I have been heading up the Producer One program as director for four months.  In that time, I have identified certain areas of concern and areas where the program is not effective.  However, I have also found that certain aspects of the program to be exceeding expectations.  This memo will outline both the effective and non-effective areas and make recommendations accordingly.</w:t>
      </w:r>
    </w:p>
    <w:p>
      <w:pPr>
        <w:pStyle w:val="Normal"/>
        <w:spacing w:before="120" w:after="0"/>
        <w:rPr>
          <w:rFonts w:ascii="Arial" w:hAnsi="Arial" w:cs="Arial"/>
          <w:sz w:val="22"/>
        </w:rPr>
      </w:pPr>
      <w:r>
        <w:rPr>
          <w:rFonts w:cs="Arial" w:ascii="Arial" w:hAnsi="Arial"/>
          <w:sz w:val="22"/>
        </w:rPr>
        <w:t>The first area of concern is Enron credibility with the producer community.  Enron lacks the infrastructure in the form of assets and personnel that many other wellhead purchasers use to their competitive advantage.  Large midstream companies such as Duke Field Services, Williams Field Services and AEP have both huge upstream asset positions and hundreds of staff dedicated to acquiring gas and providing services to the producers.  Enron has three originators that are assigned the task of acquiring gas from producers at the wellhead.  Even these three are not full time dedicated to the upstream business.  The Producer One program has two originators, including myself, assigned to outsourcing effort.  Producers have oft remarked that Enron does not really have much of an upstream presence.  The optics created by Enron’s current upstream business initiative for the producer community is minimal.  To date Enron has managed this credibility issue with experienced and dedicated professionals from the upstream sector.  This area will be discussed further in this memo.</w:t>
      </w:r>
    </w:p>
    <w:p>
      <w:pPr>
        <w:pStyle w:val="Normal"/>
        <w:spacing w:before="120" w:after="0"/>
        <w:rPr>
          <w:rFonts w:ascii="Arial" w:hAnsi="Arial" w:cs="Arial"/>
          <w:sz w:val="22"/>
        </w:rPr>
      </w:pPr>
      <w:r>
        <w:rPr>
          <w:rFonts w:cs="Arial" w:ascii="Arial" w:hAnsi="Arial"/>
          <w:sz w:val="22"/>
        </w:rPr>
        <w:t>The second area of concern represents the main issue related to the Producer One outsourcing program.  It involves the basic commodity management services that comprise Enron’s Producer One outsourcing effort.  These services mainly relate to the scheduling, nominating and balancing functions necessary for gas to flow from the wellhead to the pooling point.  There are two issues with the commodity management services and the issues are related.  The first issue is that the commodity management services offered by the Producer One program are duplicated to a very large degree by the services provided by the Wellhead Desk for a wellhead gas purchase.  The table below illustrates the duplication:</w:t>
      </w:r>
    </w:p>
    <w:p>
      <w:pPr>
        <w:pStyle w:val="Normal"/>
        <w:rPr>
          <w:rFonts w:ascii="Arial" w:hAnsi="Arial" w:cs="Arial"/>
          <w:sz w:val="20"/>
        </w:rPr>
      </w:pPr>
      <w:r>
        <w:rPr>
          <w:rFonts w:cs="Arial" w:ascii="Arial" w:hAnsi="Arial"/>
          <w:sz w:val="20"/>
        </w:rPr>
      </w:r>
    </w:p>
    <w:tbl>
      <w:tblPr>
        <w:tblW w:w="7440" w:type="dxa"/>
        <w:jc w:val="start"/>
        <w:tblInd w:w="0" w:type="dxa"/>
        <w:tblLayout w:type="fixed"/>
        <w:tblCellMar>
          <w:top w:w="13" w:type="dxa"/>
          <w:start w:w="13" w:type="dxa"/>
          <w:bottom w:w="0" w:type="dxa"/>
          <w:end w:w="13" w:type="dxa"/>
        </w:tblCellMar>
      </w:tblPr>
      <w:tblGrid>
        <w:gridCol w:w="5080"/>
        <w:gridCol w:w="1180"/>
        <w:gridCol w:w="1180"/>
      </w:tblGrid>
      <w:tr>
        <w:trPr>
          <w:trHeight w:val="427" w:hRule="atLeast"/>
        </w:trPr>
        <w:tc>
          <w:tcPr>
            <w:tcW w:w="5080" w:type="dxa"/>
            <w:vMerge w:val="restart"/>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sz w:val="20"/>
              </w:rPr>
            </w:pPr>
            <w:r>
              <w:rPr>
                <w:rFonts w:cs="Arial" w:ascii="Arial" w:hAnsi="Arial"/>
                <w:b/>
                <w:bCs/>
                <w:sz w:val="20"/>
              </w:rPr>
              <w:t>Task or Function</w:t>
            </w:r>
          </w:p>
        </w:tc>
        <w:tc>
          <w:tcPr>
            <w:tcW w:w="2360" w:type="dxa"/>
            <w:gridSpan w:val="2"/>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b/>
                <w:bCs/>
                <w:sz w:val="20"/>
              </w:rPr>
            </w:pPr>
            <w:r>
              <w:rPr>
                <w:rFonts w:eastAsia="Arial Unicode MS" w:cs="Arial" w:ascii="Arial" w:hAnsi="Arial"/>
                <w:b/>
                <w:bCs/>
                <w:sz w:val="20"/>
              </w:rPr>
              <w:t>Offered By</w:t>
            </w:r>
          </w:p>
        </w:tc>
      </w:tr>
      <w:tr>
        <w:trPr>
          <w:trHeight w:val="426" w:hRule="atLeast"/>
        </w:trPr>
        <w:tc>
          <w:tcPr>
            <w:tcW w:w="5080" w:type="dxa"/>
            <w:vMerge w:val="continue"/>
            <w:tcBorders>
              <w:top w:val="single" w:sz="4" w:space="0" w:color="000000"/>
              <w:start w:val="single" w:sz="4" w:space="0" w:color="000000"/>
              <w:end w:val="single" w:sz="4" w:space="0" w:color="000000"/>
            </w:tcBorders>
            <w:vAlign w:val="bottom"/>
          </w:tcPr>
          <w:p>
            <w:pPr>
              <w:pStyle w:val="Normal"/>
              <w:snapToGrid w:val="false"/>
              <w:jc w:val="center"/>
              <w:rPr>
                <w:rFonts w:ascii="Arial" w:hAnsi="Arial" w:eastAsia="Arial Unicode MS" w:cs="Arial"/>
                <w:b/>
                <w:bCs/>
                <w:sz w:val="20"/>
                <w:szCs w:val="20"/>
              </w:rPr>
            </w:pPr>
            <w:r>
              <w:rPr>
                <w:rFonts w:eastAsia="Arial Unicode MS" w:cs="Arial" w:ascii="Arial" w:hAnsi="Arial"/>
                <w:b/>
                <w:bCs/>
                <w:sz w:val="20"/>
                <w:szCs w:val="20"/>
              </w:rPr>
            </w:r>
          </w:p>
        </w:tc>
        <w:tc>
          <w:tcPr>
            <w:tcW w:w="1180" w:type="dxa"/>
            <w:tcBorders>
              <w:top w:val="single" w:sz="4" w:space="0" w:color="000000"/>
              <w:bottom w:val="single" w:sz="4" w:space="0" w:color="000000"/>
              <w:end w:val="single" w:sz="4" w:space="0" w:color="000000"/>
            </w:tcBorders>
            <w:vAlign w:val="bottom"/>
          </w:tcPr>
          <w:p>
            <w:pPr>
              <w:pStyle w:val="Normal"/>
              <w:jc w:val="center"/>
              <w:rPr>
                <w:rFonts w:ascii="Arial" w:hAnsi="Arial" w:cs="Arial"/>
                <w:b/>
                <w:bCs/>
                <w:sz w:val="20"/>
              </w:rPr>
            </w:pPr>
            <w:r>
              <w:rPr>
                <w:rFonts w:cs="Arial" w:ascii="Arial" w:hAnsi="Arial"/>
                <w:b/>
                <w:bCs/>
                <w:sz w:val="20"/>
              </w:rPr>
              <w:t>Wellhead Desk</w:t>
            </w:r>
          </w:p>
        </w:tc>
        <w:tc>
          <w:tcPr>
            <w:tcW w:w="1180" w:type="dxa"/>
            <w:tcBorders>
              <w:top w:val="single" w:sz="4" w:space="0" w:color="000000"/>
              <w:bottom w:val="single" w:sz="4" w:space="0" w:color="000000"/>
              <w:end w:val="single" w:sz="4" w:space="0" w:color="000000"/>
            </w:tcBorders>
            <w:tcMar>
              <w:top w:w="0" w:type="dxa"/>
              <w:start w:w="0" w:type="dxa"/>
              <w:end w:w="0" w:type="dxa"/>
            </w:tcMar>
            <w:vAlign w:val="bottom"/>
          </w:tcPr>
          <w:p>
            <w:pPr>
              <w:pStyle w:val="Normal"/>
              <w:jc w:val="center"/>
              <w:rPr>
                <w:rFonts w:ascii="Arial" w:hAnsi="Arial" w:cs="Arial"/>
                <w:b/>
                <w:bCs/>
                <w:sz w:val="20"/>
              </w:rPr>
            </w:pPr>
            <w:r>
              <w:rPr>
                <w:rFonts w:cs="Arial" w:ascii="Arial" w:hAnsi="Arial"/>
                <w:b/>
                <w:bCs/>
                <w:sz w:val="20"/>
              </w:rPr>
              <w:t>Producer One</w:t>
            </w:r>
          </w:p>
        </w:tc>
      </w:tr>
      <w:tr>
        <w:trPr>
          <w:trHeight w:val="491"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eastAsia="Arial Unicode MS" w:cs="Arial" w:ascii="Arial" w:hAnsi="Arial"/>
                <w:sz w:val="20"/>
              </w:rPr>
              <w:t>1. Provide seamless data integration from wellhead through production and final accounting.</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szCs w:val="20"/>
              </w:rPr>
            </w:pPr>
            <w:r>
              <w:rPr>
                <w:rFonts w:eastAsia="Arial Unicode MS" w:cs="Arial" w:ascii="Arial" w:hAnsi="Arial"/>
                <w:sz w:val="20"/>
                <w:szCs w:val="20"/>
              </w:rPr>
              <w:t>Possible</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szCs w:val="20"/>
              </w:rPr>
            </w:pPr>
            <w:r>
              <w:rPr>
                <w:rFonts w:eastAsia="Arial Unicode MS" w:cs="Arial" w:ascii="Arial" w:hAnsi="Arial"/>
                <w:sz w:val="20"/>
                <w:szCs w:val="20"/>
              </w:rPr>
              <w:t>Yes</w:t>
            </w:r>
          </w:p>
        </w:tc>
      </w:tr>
      <w:tr>
        <w:trPr>
          <w:trHeight w:val="491"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eastAsia="Arial Unicode MS" w:cs="Arial" w:ascii="Arial" w:hAnsi="Arial"/>
                <w:sz w:val="20"/>
              </w:rPr>
              <w:t>2. Negotiate on behalf of Producer gathering, processing and treating agreements as limited agent for Producer</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szCs w:val="20"/>
              </w:rPr>
            </w:pPr>
            <w:r>
              <w:rPr>
                <w:rFonts w:eastAsia="Arial Unicode MS" w:cs="Arial" w:ascii="Arial" w:hAnsi="Arial"/>
                <w:sz w:val="20"/>
                <w:szCs w:val="20"/>
              </w:rPr>
              <w:t>Possible</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szCs w:val="20"/>
              </w:rPr>
            </w:pPr>
            <w:r>
              <w:rPr>
                <w:rFonts w:eastAsia="Arial Unicode MS" w:cs="Arial" w:ascii="Arial" w:hAnsi="Arial"/>
                <w:sz w:val="20"/>
                <w:szCs w:val="20"/>
              </w:rPr>
              <w:t>Yes</w:t>
            </w:r>
          </w:p>
        </w:tc>
      </w:tr>
      <w:tr>
        <w:trPr>
          <w:trHeight w:val="518"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3. Administer sales, gas gathering and transportation agreement as limited agent for Producer.</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szCs w:val="20"/>
              </w:rPr>
            </w:pPr>
            <w:r>
              <w:rPr>
                <w:rFonts w:cs="Arial" w:ascii="Arial" w:hAnsi="Arial"/>
                <w:sz w:val="20"/>
                <w:szCs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szCs w:val="20"/>
              </w:rPr>
            </w:pPr>
            <w:r>
              <w:rPr>
                <w:rFonts w:cs="Arial" w:ascii="Arial" w:hAnsi="Arial"/>
                <w:sz w:val="20"/>
                <w:szCs w:val="20"/>
              </w:rPr>
              <w:t>Yes</w:t>
            </w:r>
          </w:p>
        </w:tc>
      </w:tr>
      <w:tr>
        <w:trPr>
          <w:trHeight w:val="518"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4. Purchase Producer’s gas production at the wellhead or closest meter downstream.</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szCs w:val="20"/>
              </w:rPr>
            </w:pPr>
            <w:r>
              <w:rPr>
                <w:rFonts w:cs="Arial" w:ascii="Arial" w:hAnsi="Arial"/>
                <w:sz w:val="20"/>
                <w:szCs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szCs w:val="20"/>
              </w:rPr>
            </w:pPr>
            <w:r>
              <w:rPr>
                <w:rFonts w:cs="Arial" w:ascii="Arial" w:hAnsi="Arial"/>
                <w:sz w:val="20"/>
                <w:szCs w:val="20"/>
              </w:rPr>
              <w:t>No</w:t>
            </w:r>
          </w:p>
        </w:tc>
      </w:tr>
      <w:tr>
        <w:trPr>
          <w:trHeight w:val="347"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5.</w:t>
            </w:r>
            <w:r>
              <w:rPr>
                <w:sz w:val="20"/>
                <w:szCs w:val="14"/>
              </w:rPr>
              <w:t xml:space="preserve"> </w:t>
            </w:r>
            <w:r>
              <w:rPr>
                <w:rFonts w:cs="Arial" w:ascii="Arial" w:hAnsi="Arial"/>
                <w:sz w:val="20"/>
              </w:rPr>
              <w:t>Own and manage all pipeline imbalances.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Manage</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Own</w:t>
            </w:r>
          </w:p>
        </w:tc>
      </w:tr>
      <w:tr>
        <w:trPr>
          <w:trHeight w:val="527"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6.</w:t>
            </w:r>
            <w:r>
              <w:rPr>
                <w:sz w:val="20"/>
                <w:szCs w:val="14"/>
              </w:rPr>
              <w:t xml:space="preserve">  </w:t>
            </w:r>
            <w:r>
              <w:rPr>
                <w:rFonts w:cs="Arial" w:ascii="Arial" w:hAnsi="Arial"/>
                <w:sz w:val="20"/>
              </w:rPr>
              <w:t>Gather nomination information from outside working interest owners.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No</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518"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 xml:space="preserve">7. Place nominations with operators of non-operated wells where Producer is taking its gas in kind.  </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536"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8.</w:t>
            </w:r>
            <w:r>
              <w:rPr>
                <w:sz w:val="20"/>
                <w:szCs w:val="14"/>
              </w:rPr>
              <w:t xml:space="preserve">  </w:t>
            </w:r>
            <w:r>
              <w:rPr>
                <w:rFonts w:cs="Arial" w:ascii="Arial" w:hAnsi="Arial"/>
                <w:sz w:val="20"/>
              </w:rPr>
              <w:t>Nominate, schedule and balance gas with appropriate pipelines, gatherers and purchasers.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853"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9. Modify nominations and final gas scheduling with pipelines, gatherers and purchasers based upon notification from Producer</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383"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10. Notify Producer of final gas pricing.</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707"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11.</w:t>
            </w:r>
            <w:r>
              <w:rPr>
                <w:sz w:val="20"/>
                <w:szCs w:val="14"/>
              </w:rPr>
              <w:t>  </w:t>
            </w:r>
            <w:r>
              <w:rPr>
                <w:rFonts w:cs="Arial" w:ascii="Arial" w:hAnsi="Arial"/>
                <w:sz w:val="20"/>
              </w:rPr>
              <w:t>Monitor and report material variances in transportation related charges such as lost and unaccounted for gas and transport fuel.</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853"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 xml:space="preserve">12. Monitor and provide notice to Producer of material outages or constraints related to the downstream systems such as plants and gathering systems.  </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854"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13. Meet periodically with Producer to provide market intelligence regarding the gas markets and related infrastructure.</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Possible</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527"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14. Provide a web page for Producer to monitor their production and sales.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Possible</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518"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15. Obtain pipeline meter statements for actual production and forward to Producer.</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854"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16. Obtain pipeline allocation statements by working interest owner and forward to Producer.  Include final volume actualizations by working interest owner by well.</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r>
        <w:trPr>
          <w:trHeight w:val="853"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17. Remit amounts due on invoices received from Producer for gas purchases within 30 days following the end of the production month.</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No</w:t>
            </w:r>
          </w:p>
        </w:tc>
      </w:tr>
      <w:tr>
        <w:trPr>
          <w:trHeight w:val="608"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18. Remit severance taxes as first purchaser of Producer production as applicable.</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No</w:t>
            </w:r>
          </w:p>
        </w:tc>
      </w:tr>
      <w:tr>
        <w:trPr>
          <w:trHeight w:val="854" w:hRule="atLeast"/>
        </w:trPr>
        <w:tc>
          <w:tcPr>
            <w:tcW w:w="5080" w:type="dxa"/>
            <w:tcBorders>
              <w:start w:val="single" w:sz="4" w:space="0" w:color="000000"/>
              <w:bottom w:val="single" w:sz="4" w:space="0" w:color="000000"/>
              <w:end w:val="single" w:sz="4" w:space="0" w:color="000000"/>
            </w:tcBorders>
          </w:tcPr>
          <w:p>
            <w:pPr>
              <w:pStyle w:val="Normal"/>
              <w:rPr>
                <w:rFonts w:ascii="Arial" w:hAnsi="Arial" w:eastAsia="Arial Unicode MS" w:cs="Arial"/>
                <w:sz w:val="20"/>
              </w:rPr>
            </w:pPr>
            <w:r>
              <w:rPr>
                <w:rFonts w:cs="Arial" w:ascii="Arial" w:hAnsi="Arial"/>
                <w:sz w:val="20"/>
              </w:rPr>
              <w:t xml:space="preserve">19. Generate remittance advice detail based on review with Producer and provide such detail in electronic database format (Access).  </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c>
          <w:tcPr>
            <w:tcW w:w="1180" w:type="dxa"/>
            <w:tcBorders>
              <w:bottom w:val="single" w:sz="4" w:space="0" w:color="000000"/>
              <w:end w:val="single" w:sz="4" w:space="0" w:color="000000"/>
            </w:tcBorders>
            <w:vAlign w:val="center"/>
          </w:tcPr>
          <w:p>
            <w:pPr>
              <w:pStyle w:val="Normal"/>
              <w:jc w:val="center"/>
              <w:rPr>
                <w:rFonts w:ascii="Arial" w:hAnsi="Arial" w:eastAsia="Arial Unicode MS" w:cs="Arial"/>
                <w:sz w:val="20"/>
              </w:rPr>
            </w:pPr>
            <w:r>
              <w:rPr>
                <w:rFonts w:cs="Arial" w:ascii="Arial" w:hAnsi="Arial"/>
                <w:sz w:val="20"/>
              </w:rPr>
              <w:t>Yes</w:t>
            </w:r>
          </w:p>
        </w:tc>
      </w:tr>
    </w:tbl>
    <w:p>
      <w:pPr>
        <w:pStyle w:val="Normal"/>
        <w:rPr>
          <w:rFonts w:ascii="Arial" w:hAnsi="Arial" w:cs="Arial"/>
          <w:sz w:val="20"/>
        </w:rPr>
      </w:pPr>
      <w:r>
        <w:rPr>
          <w:rFonts w:cs="Arial" w:ascii="Arial" w:hAnsi="Arial"/>
          <w:sz w:val="20"/>
        </w:rPr>
      </w:r>
    </w:p>
    <w:p>
      <w:pPr>
        <w:pStyle w:val="Normal"/>
        <w:spacing w:before="120" w:after="0"/>
        <w:rPr/>
      </w:pPr>
      <w:r>
        <w:rPr>
          <w:rFonts w:cs="Arial" w:ascii="Arial" w:hAnsi="Arial"/>
          <w:sz w:val="22"/>
        </w:rPr>
        <w:t>The overlap between the services is clear.  In addition, when Enron Networks prices the stand alone Producer One outsourcing services the prices appear high.  It should be pointed out that Enron Networks has only estimated the cost of the services and lacks the experience to accurately price the services.  One significant task promoted by Producer One program is the seamless integration or flow of data from the field to Enron and then finally to ATS.  However, this task could be provided in conjunction with a wellhead purchase.  Another task that adds value for the producer is Enron ownership of the pipeline imbalances.  Currently, there is some question as to whether the Wellhead Desk is offering to own the pipeline imbalances.  The appropriate contractual protection for Enron would be a stipulation associated with this service.  The following language was used in a recent gas purchase proposal and seems to indicate that Enron would own the pipeline imbalances.</w:t>
      </w:r>
    </w:p>
    <w:p>
      <w:pPr>
        <w:pStyle w:val="BodyTextIndent"/>
        <w:spacing w:before="120" w:after="0"/>
        <w:ind w:end="720"/>
        <w:rPr/>
      </w:pPr>
      <w:r>
        <w:rPr/>
        <w:t>“</w:t>
      </w:r>
      <w:r>
        <w:rPr>
          <w:sz w:val="22"/>
        </w:rPr>
        <w:t xml:space="preserve">Each party shall promptly notify the other of any changes in the information provided to the other as well as any event reasonably calculated to change the information previously provided.  Either party notified of any such change shall be obligated to take all reasonable action consistent with applicable pipeline tariffs to avoid or minimize the imposition of imbalance, cash-out and similar penalties.  </w:t>
      </w:r>
      <w:r>
        <w:rPr>
          <w:b/>
          <w:bCs/>
          <w:sz w:val="22"/>
        </w:rPr>
        <w:t>ENA would be responsible for all imbalance penalties and cash-out cost imposed by the transporting pipeline(s)</w:t>
      </w:r>
      <w:r>
        <w:rPr>
          <w:sz w:val="22"/>
        </w:rPr>
        <w:t>, except such changes that may be incurred as a result of Producer’s failure to provide timely and accurate nominations and nomination changes to ENA.”</w:t>
      </w:r>
    </w:p>
    <w:p>
      <w:pPr>
        <w:pStyle w:val="Normal"/>
        <w:spacing w:before="120" w:after="0"/>
        <w:rPr>
          <w:rFonts w:ascii="Arial" w:hAnsi="Arial" w:cs="Arial"/>
          <w:sz w:val="22"/>
        </w:rPr>
      </w:pPr>
      <w:r>
        <w:rPr>
          <w:rFonts w:cs="Arial" w:ascii="Arial" w:hAnsi="Arial"/>
          <w:sz w:val="22"/>
        </w:rPr>
        <w:t>In any event, the Wellhead Desk could manage and own pipeline imbalances if it is not currently offering this value added service.</w:t>
      </w:r>
    </w:p>
    <w:p>
      <w:pPr>
        <w:pStyle w:val="BodyText"/>
        <w:spacing w:before="120" w:after="0"/>
        <w:rPr/>
      </w:pPr>
      <w:r>
        <w:rPr/>
        <w:t xml:space="preserve">The services included with any wellhead gas purchase by the Wellhead Desk are similar if not identical to the services offered by other wellhead gas purchasers.  The Wellhead Desk must therefore provide these services in order to compete for wellhead gas.  </w:t>
      </w:r>
    </w:p>
    <w:p>
      <w:pPr>
        <w:pStyle w:val="Normal"/>
        <w:spacing w:before="120" w:after="0"/>
        <w:rPr>
          <w:rFonts w:ascii="Arial" w:hAnsi="Arial" w:cs="Arial"/>
          <w:sz w:val="22"/>
        </w:rPr>
      </w:pPr>
      <w:r>
        <w:rPr>
          <w:rFonts w:cs="Arial" w:ascii="Arial" w:hAnsi="Arial"/>
          <w:sz w:val="22"/>
        </w:rPr>
        <w:t xml:space="preserve">The high degree of duplication of services may explain the second issue with the Producer One outsourcing services.  It appears that many producers are not interested in stand-alone commodity management services.  However, almost all the producers are interested in getting purchase bids from Enron for their wellhead gas.  Several producers have stated that they feel they are receiving competitive market prices for their wellhead gas sales.  This is supported by the fact that generally, the differential between wellhead and hub or pool prices typically reflects only transportation costs.  </w:t>
      </w:r>
    </w:p>
    <w:p>
      <w:pPr>
        <w:pStyle w:val="Normal"/>
        <w:spacing w:before="120" w:after="0"/>
        <w:rPr>
          <w:rFonts w:ascii="Arial" w:hAnsi="Arial" w:cs="Arial"/>
          <w:sz w:val="22"/>
        </w:rPr>
      </w:pPr>
      <w:r>
        <w:rPr>
          <w:rFonts w:cs="Arial" w:ascii="Arial" w:hAnsi="Arial"/>
          <w:sz w:val="22"/>
        </w:rPr>
        <w:t>During the past several months meeting have been held with the following producers:</w:t>
      </w:r>
    </w:p>
    <w:p>
      <w:pPr>
        <w:pStyle w:val="Normal"/>
        <w:rPr>
          <w:rFonts w:ascii="Arial" w:hAnsi="Arial" w:cs="Arial"/>
          <w:sz w:val="22"/>
        </w:rPr>
      </w:pPr>
      <w:r>
        <w:rPr>
          <w:rFonts w:cs="Arial" w:ascii="Arial" w:hAnsi="Arial"/>
          <w:sz w:val="22"/>
        </w:rPr>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Pr>
    </w:p>
    <w:p>
      <w:pPr>
        <w:pStyle w:val="Normal"/>
        <w:ind w:start="720" w:end="0"/>
        <w:rPr>
          <w:rFonts w:ascii="Arial" w:hAnsi="Arial" w:cs="Arial"/>
          <w:sz w:val="22"/>
        </w:rPr>
      </w:pPr>
      <w:r>
        <w:rPr>
          <w:rFonts w:cs="Arial" w:ascii="Arial" w:hAnsi="Arial"/>
          <w:sz w:val="22"/>
        </w:rPr>
        <w:t>Pure Resources</w:t>
      </w:r>
    </w:p>
    <w:p>
      <w:pPr>
        <w:pStyle w:val="Normal"/>
        <w:ind w:start="720" w:end="0"/>
        <w:rPr>
          <w:rFonts w:ascii="Arial" w:hAnsi="Arial" w:cs="Arial"/>
          <w:sz w:val="22"/>
        </w:rPr>
      </w:pPr>
      <w:r>
        <w:rPr>
          <w:rFonts w:cs="Arial" w:ascii="Arial" w:hAnsi="Arial"/>
          <w:sz w:val="22"/>
        </w:rPr>
        <w:t xml:space="preserve">Apache </w:t>
      </w:r>
    </w:p>
    <w:p>
      <w:pPr>
        <w:pStyle w:val="Normal"/>
        <w:ind w:start="720" w:end="0"/>
        <w:rPr>
          <w:rFonts w:ascii="Arial" w:hAnsi="Arial" w:cs="Arial"/>
          <w:sz w:val="22"/>
        </w:rPr>
      </w:pPr>
      <w:r>
        <w:rPr>
          <w:rFonts w:cs="Arial" w:ascii="Arial" w:hAnsi="Arial"/>
          <w:sz w:val="22"/>
        </w:rPr>
        <w:t>Andex</w:t>
      </w:r>
    </w:p>
    <w:p>
      <w:pPr>
        <w:pStyle w:val="Normal"/>
        <w:ind w:start="720" w:end="0"/>
        <w:rPr>
          <w:rFonts w:ascii="Arial" w:hAnsi="Arial" w:cs="Arial"/>
          <w:sz w:val="22"/>
        </w:rPr>
      </w:pPr>
      <w:r>
        <w:rPr>
          <w:rFonts w:cs="Arial" w:ascii="Arial" w:hAnsi="Arial"/>
          <w:sz w:val="22"/>
        </w:rPr>
        <w:t>Alcorn</w:t>
      </w:r>
    </w:p>
    <w:p>
      <w:pPr>
        <w:pStyle w:val="Normal"/>
        <w:ind w:start="720" w:end="0"/>
        <w:rPr>
          <w:rFonts w:ascii="Arial" w:hAnsi="Arial" w:cs="Arial"/>
          <w:sz w:val="22"/>
        </w:rPr>
      </w:pPr>
      <w:r>
        <w:rPr>
          <w:rFonts w:cs="Arial" w:ascii="Arial" w:hAnsi="Arial"/>
          <w:sz w:val="22"/>
        </w:rPr>
        <w:t>Continental Land &amp; Fur</w:t>
      </w:r>
    </w:p>
    <w:p>
      <w:pPr>
        <w:pStyle w:val="Normal"/>
        <w:ind w:start="720" w:end="0"/>
        <w:rPr>
          <w:rFonts w:ascii="Arial" w:hAnsi="Arial" w:cs="Arial"/>
          <w:sz w:val="22"/>
        </w:rPr>
      </w:pPr>
      <w:r>
        <w:rPr>
          <w:rFonts w:cs="Arial" w:ascii="Arial" w:hAnsi="Arial"/>
          <w:sz w:val="22"/>
        </w:rPr>
        <w:t>Dale Resources</w:t>
      </w:r>
    </w:p>
    <w:p>
      <w:pPr>
        <w:pStyle w:val="Normal"/>
        <w:ind w:start="720" w:end="0"/>
        <w:rPr>
          <w:rFonts w:ascii="Arial" w:hAnsi="Arial" w:cs="Arial"/>
          <w:sz w:val="22"/>
        </w:rPr>
      </w:pPr>
      <w:r>
        <w:rPr>
          <w:rFonts w:cs="Arial" w:ascii="Arial" w:hAnsi="Arial"/>
          <w:sz w:val="22"/>
        </w:rPr>
        <w:t>Edge Petroleum</w:t>
      </w:r>
    </w:p>
    <w:p>
      <w:pPr>
        <w:pStyle w:val="Normal"/>
        <w:ind w:start="720" w:end="0"/>
        <w:rPr>
          <w:rFonts w:ascii="Arial" w:hAnsi="Arial" w:cs="Arial"/>
          <w:sz w:val="22"/>
        </w:rPr>
      </w:pPr>
      <w:r>
        <w:rPr>
          <w:rFonts w:cs="Arial" w:ascii="Arial" w:hAnsi="Arial"/>
          <w:sz w:val="22"/>
        </w:rPr>
        <w:t>Enerfin Resources</w:t>
      </w:r>
    </w:p>
    <w:p>
      <w:pPr>
        <w:pStyle w:val="Normal"/>
        <w:ind w:start="720" w:end="0"/>
        <w:rPr>
          <w:rFonts w:ascii="Arial" w:hAnsi="Arial" w:cs="Arial"/>
          <w:sz w:val="22"/>
        </w:rPr>
      </w:pPr>
      <w:r>
        <w:rPr>
          <w:rFonts w:cs="Arial" w:ascii="Arial" w:hAnsi="Arial"/>
          <w:sz w:val="22"/>
        </w:rPr>
        <w:t xml:space="preserve">Preston </w:t>
      </w:r>
    </w:p>
    <w:p>
      <w:pPr>
        <w:pStyle w:val="Normal"/>
        <w:ind w:start="720" w:end="0"/>
        <w:rPr>
          <w:rFonts w:ascii="Arial" w:hAnsi="Arial" w:cs="Arial"/>
          <w:sz w:val="22"/>
        </w:rPr>
      </w:pPr>
      <w:r>
        <w:rPr>
          <w:rFonts w:cs="Arial" w:ascii="Arial" w:hAnsi="Arial"/>
          <w:sz w:val="22"/>
        </w:rPr>
        <w:t>Gryphon Exploration</w:t>
      </w:r>
    </w:p>
    <w:p>
      <w:pPr>
        <w:pStyle w:val="Normal"/>
        <w:rPr>
          <w:rFonts w:ascii="Arial" w:hAnsi="Arial" w:cs="Arial"/>
          <w:sz w:val="22"/>
        </w:rPr>
      </w:pPr>
      <w:r>
        <w:rPr>
          <w:rFonts w:cs="Arial" w:ascii="Arial" w:hAnsi="Arial"/>
          <w:sz w:val="22"/>
        </w:rPr>
        <w:t>Petroquest</w:t>
      </w:r>
    </w:p>
    <w:p>
      <w:pPr>
        <w:pStyle w:val="Normal"/>
        <w:rPr>
          <w:rFonts w:ascii="Arial" w:hAnsi="Arial" w:cs="Arial"/>
          <w:sz w:val="22"/>
        </w:rPr>
      </w:pPr>
      <w:r>
        <w:rPr>
          <w:rFonts w:cs="Arial" w:ascii="Arial" w:hAnsi="Arial"/>
          <w:sz w:val="22"/>
        </w:rPr>
        <w:t>Stone Energy</w:t>
      </w:r>
    </w:p>
    <w:p>
      <w:pPr>
        <w:pStyle w:val="Normal"/>
        <w:rPr>
          <w:rFonts w:ascii="Arial" w:hAnsi="Arial" w:cs="Arial"/>
          <w:sz w:val="22"/>
        </w:rPr>
      </w:pPr>
      <w:r>
        <w:rPr>
          <w:rFonts w:cs="Arial" w:ascii="Arial" w:hAnsi="Arial"/>
          <w:sz w:val="22"/>
        </w:rPr>
        <w:t>Samedan</w:t>
      </w:r>
    </w:p>
    <w:p>
      <w:pPr>
        <w:pStyle w:val="Normal"/>
        <w:rPr>
          <w:rFonts w:ascii="Arial" w:hAnsi="Arial" w:cs="Arial"/>
          <w:sz w:val="22"/>
        </w:rPr>
      </w:pPr>
      <w:r>
        <w:rPr>
          <w:rFonts w:cs="Arial" w:ascii="Arial" w:hAnsi="Arial"/>
          <w:sz w:val="22"/>
        </w:rPr>
        <w:t>The Houston Exploration Co</w:t>
      </w:r>
    </w:p>
    <w:p>
      <w:pPr>
        <w:pStyle w:val="Normal"/>
        <w:rPr>
          <w:rFonts w:ascii="Arial" w:hAnsi="Arial" w:cs="Arial"/>
          <w:sz w:val="22"/>
        </w:rPr>
      </w:pPr>
      <w:r>
        <w:rPr>
          <w:rFonts w:cs="Arial" w:ascii="Arial" w:hAnsi="Arial"/>
          <w:sz w:val="22"/>
        </w:rPr>
        <w:t>Ocean Energy</w:t>
      </w:r>
    </w:p>
    <w:p>
      <w:pPr>
        <w:pStyle w:val="Normal"/>
        <w:rPr>
          <w:rFonts w:ascii="Arial" w:hAnsi="Arial" w:cs="Arial"/>
          <w:sz w:val="22"/>
        </w:rPr>
      </w:pPr>
      <w:r>
        <w:rPr>
          <w:rFonts w:cs="Arial" w:ascii="Arial" w:hAnsi="Arial"/>
          <w:sz w:val="22"/>
        </w:rPr>
        <w:t>Cordillera Energy Partners</w:t>
      </w:r>
    </w:p>
    <w:p>
      <w:pPr>
        <w:pStyle w:val="Normal"/>
        <w:rPr>
          <w:rFonts w:ascii="Arial" w:hAnsi="Arial" w:cs="Arial"/>
          <w:sz w:val="22"/>
        </w:rPr>
      </w:pPr>
      <w:r>
        <w:rPr>
          <w:rFonts w:cs="Arial" w:ascii="Arial" w:hAnsi="Arial"/>
          <w:sz w:val="22"/>
        </w:rPr>
        <w:t>Callon Petroleum</w:t>
      </w:r>
    </w:p>
    <w:p>
      <w:pPr>
        <w:pStyle w:val="Normal"/>
        <w:rPr>
          <w:rFonts w:ascii="Arial" w:hAnsi="Arial" w:cs="Arial"/>
          <w:sz w:val="22"/>
        </w:rPr>
      </w:pPr>
      <w:r>
        <w:rPr>
          <w:rFonts w:cs="Arial" w:ascii="Arial" w:hAnsi="Arial"/>
          <w:sz w:val="22"/>
        </w:rPr>
        <w:t>Mar Oil Company</w:t>
      </w:r>
    </w:p>
    <w:p>
      <w:pPr>
        <w:pStyle w:val="Normal"/>
        <w:rPr>
          <w:rFonts w:ascii="Arial" w:hAnsi="Arial" w:cs="Arial"/>
          <w:sz w:val="22"/>
        </w:rPr>
      </w:pPr>
      <w:r>
        <w:rPr>
          <w:rFonts w:cs="Arial" w:ascii="Arial" w:hAnsi="Arial"/>
          <w:sz w:val="22"/>
        </w:rPr>
        <w:t>Marathon</w:t>
      </w:r>
    </w:p>
    <w:p>
      <w:pPr>
        <w:sectPr>
          <w:type w:val="continuous"/>
          <w:pgSz w:w="12240" w:h="15840"/>
          <w:pgMar w:left="1800" w:right="1800" w:gutter="0" w:header="0" w:top="1440" w:footer="720" w:bottom="1440"/>
          <w:cols w:num="2" w:space="720" w:equalWidth="true" w:sep="false"/>
          <w:formProt w:val="false"/>
          <w:textDirection w:val="lrTb"/>
          <w:docGrid w:type="default" w:linePitch="360" w:charSpace="0"/>
        </w:sectPr>
      </w:pPr>
    </w:p>
    <w:p>
      <w:pPr>
        <w:pStyle w:val="Normal"/>
        <w:spacing w:before="120" w:after="0"/>
        <w:rPr/>
      </w:pPr>
      <w:r>
        <w:rPr>
          <w:rFonts w:cs="Arial" w:ascii="Arial" w:hAnsi="Arial"/>
          <w:sz w:val="22"/>
        </w:rPr>
        <w:t>With the exception of Ocean Energy’s interest in outsourcing the scheduling, balancing and accounting operations related to its Havre Pipeline system, none of the above producers have expressed significant interest in stand-alone outsourcing.  However, almost without exception the producers have expressed a desire for Enron to purchase or at least bid to purchase their wellhead production.  The Havre Pipeline outsourcing at this point does not include any other Producer One component such as wellhead automation via HMS and as such does not represent a strategic market opportunity (i.e. very small transaction with low visibility).  The market already knows Enron can manage/operate pipelines.</w:t>
      </w:r>
    </w:p>
    <w:p>
      <w:pPr>
        <w:pStyle w:val="Normal"/>
        <w:spacing w:before="120" w:after="0"/>
        <w:rPr>
          <w:rFonts w:ascii="Arial" w:hAnsi="Arial" w:cs="Arial"/>
          <w:sz w:val="22"/>
        </w:rPr>
      </w:pPr>
      <w:r>
        <w:rPr>
          <w:rFonts w:cs="Arial" w:ascii="Arial" w:hAnsi="Arial"/>
          <w:sz w:val="22"/>
        </w:rPr>
        <w:t xml:space="preserve">To varying degrees, the above producers have expressed interest in other facets of the Producer One program.  For example, six of the small producers above have contracted with ATS for accounting services.  Stone, Callon and Ocean already use certain ATS software systems.  Ocean and Pure are considering field automation projects to enhance wellhead reliability and production reporting.  </w:t>
      </w:r>
    </w:p>
    <w:p>
      <w:pPr>
        <w:pStyle w:val="Normal"/>
        <w:spacing w:before="120" w:after="0"/>
        <w:rPr>
          <w:rFonts w:ascii="Arial" w:hAnsi="Arial" w:cs="Arial"/>
          <w:sz w:val="22"/>
        </w:rPr>
      </w:pPr>
      <w:r>
        <w:rPr>
          <w:rFonts w:cs="Arial" w:ascii="Arial" w:hAnsi="Arial"/>
          <w:sz w:val="22"/>
        </w:rPr>
        <w:t xml:space="preserve">The overall Enron Producer One concept of integrated data flow, volume management and E&amp;P accounting services has been well received by the upstream community.  The Enron Producer One program represents an opportunity for Enron to strengthen its position with producers.  The most significant issue to address is the duplication of services between the stand-alone outsourcing services offered as part of the Producer One program and the services offered in conjunction wellhead gas purchases.  Why would a producer subscribe to a stand-alone outsourcing service if the producer can receive most and in some cases all of the necessary services with a wellhead gas sale?  In addition, there is little if any difference in gas prices between the wellhead and major pooling points except for transportation, which the producer pays for regardless.  </w:t>
      </w:r>
    </w:p>
    <w:p>
      <w:pPr>
        <w:pStyle w:val="Heading1"/>
        <w:spacing w:before="120" w:after="0"/>
        <w:ind w:hanging="0" w:start="0"/>
        <w:rPr/>
      </w:pPr>
      <w:r>
        <w:rPr/>
        <w:t>Recommendations</w:t>
      </w:r>
    </w:p>
    <w:p>
      <w:pPr>
        <w:pStyle w:val="Normal"/>
        <w:spacing w:before="120" w:after="0"/>
        <w:rPr>
          <w:rFonts w:ascii="Arial" w:hAnsi="Arial" w:cs="Arial"/>
          <w:sz w:val="22"/>
        </w:rPr>
      </w:pPr>
      <w:r>
        <w:rPr>
          <w:rFonts w:cs="Arial" w:ascii="Arial" w:hAnsi="Arial"/>
          <w:sz w:val="22"/>
        </w:rPr>
        <w:t xml:space="preserve">Since the Wellhead Desk must continue to offer the services related to its wellhead purchases, it is clear that the vast majority (probably greater than 80%) of transactions will involve a gas purchase component.  The Producer One program should therefore be closely integrated with or become a part of the Wellhead Desk.  The Wellhead Desk currently relies on originators from other desks to bring gas volumes to the Wellhead Desk.  The Producer One program also coordinates producer related marketing efforts with originators from other desks.  I believe that the Wellhead Desk should have its own originators to focus on wellhead purchases and promoting the Producer One program.  This would provide Enron with an origination team focused strictly on the upstream business sector.  Marketing the Producer One program would be incorporated with all wellhead gas acquisition efforts.  Wellhead Desk staff should be able to easily address any stand-alone outsourcing opportunity.  However, the current market trend indicates that, at least initially, these opportunities will be few.  Just as the Wellhead Desk currently coordinates gas volume flow, the Wellhead Desk’s role could be expanded to include coordination and management of data transfers between HMS, Enron and ATS.  It would be necessary to have a manager level person dedicated to managing the Producer One program if the effort was incorporated into the Wellhead Desk.  This person would insure contractual continuity from an outsourcing perspective, insure that marketing income from ATS and HMS is reported and booked correctly and insure that the marketing efforts among the three companies are coordinated.  </w:t>
      </w:r>
    </w:p>
    <w:p>
      <w:pPr>
        <w:pStyle w:val="Normal"/>
        <w:spacing w:before="120" w:after="0"/>
        <w:rPr>
          <w:rFonts w:ascii="Arial" w:hAnsi="Arial" w:cs="Arial"/>
          <w:sz w:val="22"/>
        </w:rPr>
      </w:pPr>
      <w:r>
        <w:rPr>
          <w:rFonts w:cs="Arial" w:ascii="Arial" w:hAnsi="Arial"/>
          <w:sz w:val="22"/>
        </w:rPr>
        <w:t xml:space="preserve">Another potential advantage of the Producer One program integration in the Wellhead Desk would be control of costs.  If all or most the outsourcing services were provided by the Wellhead Desk related costs could be effectively managed.  Services could be priced to take into account any market advantage or disadvantage impacting Enron’s position.  Overall staffing between the Wellhead Desk and the Producer One program would be optimized.  Beyond cost control, customer service would be enhanced since the services would reside with the same unit selling the services.  The chance of producers being routed to several different persons to resolve an issue would be minimized.  </w:t>
      </w:r>
    </w:p>
    <w:p>
      <w:pPr>
        <w:pStyle w:val="Normal"/>
        <w:spacing w:before="120" w:after="0"/>
        <w:rPr>
          <w:rFonts w:ascii="Arial" w:hAnsi="Arial" w:cs="Arial"/>
          <w:sz w:val="22"/>
        </w:rPr>
      </w:pPr>
      <w:r>
        <w:rPr>
          <w:rFonts w:cs="Arial" w:ascii="Arial" w:hAnsi="Arial"/>
          <w:sz w:val="22"/>
        </w:rPr>
        <w:t xml:space="preserve">As far as our Producer One partners are concerned, implementation of the recommended organizational changes should have little or no impact.  ATS and HMS would continue to be involved at the appropriate level in customer calls.  In fact, our partners should positively receive any change that would likely be perceived by producers as an Enron step closer to the upstream business sector.  The only partner concern I could conceive would be that in someway the changes would dilute the Producer One marketing effort.  </w:t>
      </w:r>
    </w:p>
    <w:p>
      <w:pPr>
        <w:pStyle w:val="Normal"/>
        <w:spacing w:before="120" w:after="0"/>
        <w:rPr>
          <w:rFonts w:ascii="Arial" w:hAnsi="Arial" w:cs="Arial"/>
          <w:sz w:val="22"/>
        </w:rPr>
      </w:pPr>
      <w:r>
        <w:rPr>
          <w:rFonts w:cs="Arial" w:ascii="Arial" w:hAnsi="Arial"/>
          <w:sz w:val="22"/>
        </w:rPr>
        <w:t xml:space="preserve">The proposed organizational changes should provide an upstream business focus, which will enhance the optics from a producer prospective.  There would be no duplication of services between the Wellhead Desk and the Producer One program.  These changes will also enhance cost control initiatives and customer service by placing producer outsourcing and wellhead gas purchases within a single area.  </w:t>
      </w:r>
    </w:p>
    <w:sectPr>
      <w:type w:val="continuous"/>
      <w:pgSz w:w="12240" w:h="15840"/>
      <w:pgMar w:left="1800" w:right="180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rFonts w:ascii="Arial" w:hAnsi="Arial" w:cs="Arial"/>
      <w:b/>
      <w:bCs/>
      <w:sz w:val="22"/>
    </w:rPr>
  </w:style>
  <w:style w:type="paragraph" w:styleId="BodyTextIndent">
    <w:name w:val="Body Text Indent"/>
    <w:basedOn w:val="Normal"/>
    <w:pPr>
      <w:ind w:hanging="0" w:start="720" w:end="0"/>
      <w:jc w:val="both"/>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2001-10-09T20:26:00Z</dcterms:created>
  <dc:creator>Kevin Miller</dc:creator>
  <dc:description/>
  <dc:language>en-CA</dc:language>
  <cp:lastModifiedBy>Kevin Miller</cp:lastModifiedBy>
  <cp:lastPrinted>2001-10-10T07:45:00Z</cp:lastPrinted>
  <dcterms:modified xsi:type="dcterms:W3CDTF">2001-10-10T11:47:00Z</dcterms:modified>
  <cp:revision>6</cp:revision>
  <dc:subject/>
  <dc:title>Background</dc:title>
</cp:coreProperties>
</file>