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Wingdings" w:hAnsi="Wingdings" w:cs="Wingdings"/>
          <w:color w:val="3399FF"/>
          <w:szCs w:val="10"/>
        </w:rPr>
      </w:pPr>
      <w:r>
        <w:rPr>
          <w:rFonts w:cs="Wingdings" w:ascii="Wingdings" w:hAnsi="Wingdings"/>
          <w:color w:val="3399FF"/>
          <w:szCs w:val="1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Version 1.0</w:t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Perfect Market Core Functionality (Phase One)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Market Definition Tool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Buyer Central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Supplier Central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RFQ Engine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NMM Administration Tool</w:t>
      </w:r>
    </w:p>
    <w:p>
      <w:pPr>
        <w:pStyle w:val="Normal"/>
        <w:rPr>
          <w:b/>
          <w:bCs/>
          <w:vanish/>
          <w:color w:val="000000"/>
          <w:sz w:val="20"/>
          <w:szCs w:val="16"/>
        </w:rPr>
      </w:pPr>
      <w:r>
        <w:rPr>
          <w:b/>
          <w:bCs/>
          <w:vanish/>
          <w:color w:val="000000"/>
          <w:sz w:val="20"/>
          <w:szCs w:val="16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Perfect Market Reporting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NMM Summary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Product Category Summary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Buyer Detail Summary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Supplier Detail Summary</w:t>
      </w:r>
    </w:p>
    <w:p>
      <w:pPr>
        <w:pStyle w:val="Normal"/>
        <w:ind w:start="720" w:end="0"/>
        <w:rPr>
          <w:rFonts w:cs="Times New Roman"/>
          <w:b/>
          <w:bCs/>
          <w:color w:val="000000"/>
          <w:sz w:val="20"/>
          <w:szCs w:val="16"/>
        </w:rPr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>Time Based Summary</w:t>
      </w:r>
      <w:r>
        <w:rPr>
          <w:b/>
          <w:bCs/>
          <w:color w:val="000000"/>
          <w:sz w:val="20"/>
          <w:szCs w:val="16"/>
        </w:rPr>
        <w:t> </w:t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Buyer Side Bill of Materials Enabled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8"/>
        </w:rPr>
        <w:sym w:font="Wingdings" w:char="f06c"/>
      </w:r>
      <w:r>
        <w:rPr>
          <w:b/>
          <w:bCs/>
          <w:color w:val="000000"/>
          <w:sz w:val="20"/>
          <w:szCs w:val="14"/>
        </w:rPr>
        <w:t xml:space="preserve">Multiple line items per supplier RFQ </w:t>
      </w:r>
    </w:p>
    <w:p>
      <w:pPr>
        <w:pStyle w:val="Normal"/>
        <w:rPr>
          <w:b/>
          <w:bCs/>
          <w:color w:val="000000"/>
          <w:sz w:val="20"/>
          <w:szCs w:val="14"/>
        </w:rPr>
      </w:pPr>
      <w:r>
        <w:rPr>
          <w:b/>
          <w:bCs/>
          <w:color w:val="000000"/>
          <w:sz w:val="20"/>
          <w:szCs w:val="14"/>
        </w:rPr>
      </w:r>
    </w:p>
    <w:p>
      <w:pPr>
        <w:pStyle w:val="Heading2"/>
        <w:ind w:hanging="0" w:start="0"/>
        <w:rPr>
          <w:szCs w:val="14"/>
        </w:rPr>
      </w:pPr>
      <w:r>
        <w:rPr>
          <w:szCs w:val="14"/>
        </w:rPr>
        <w:t>Version 2.0</w:t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Trading Exchange Platform Integration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Commerce One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VerticalNet</w:t>
      </w:r>
    </w:p>
    <w:p>
      <w:pPr>
        <w:pStyle w:val="Normal"/>
        <w:rPr>
          <w:b/>
          <w:bCs/>
          <w:vanish/>
          <w:color w:val="000000"/>
          <w:sz w:val="20"/>
          <w:szCs w:val="18"/>
        </w:rPr>
      </w:pPr>
      <w:r>
        <w:rPr>
          <w:b/>
          <w:bCs/>
          <w:vanish/>
          <w:color w:val="000000"/>
          <w:sz w:val="20"/>
          <w:szCs w:val="18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Industry Sponsored Exchange Integration</w:t>
      </w:r>
    </w:p>
    <w:p>
      <w:pPr>
        <w:pStyle w:val="Normal"/>
        <w:rPr>
          <w:b/>
          <w:bCs/>
          <w:vanish/>
          <w:color w:val="000000"/>
          <w:sz w:val="20"/>
          <w:szCs w:val="18"/>
        </w:rPr>
      </w:pPr>
      <w:r>
        <w:rPr>
          <w:b/>
          <w:bCs/>
          <w:vanish/>
          <w:color w:val="000000"/>
          <w:sz w:val="20"/>
          <w:szCs w:val="18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Partnership Integration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Capstan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Calico Commerce</w:t>
      </w:r>
    </w:p>
    <w:p>
      <w:pPr>
        <w:pStyle w:val="Normal"/>
        <w:rPr>
          <w:b/>
          <w:bCs/>
          <w:vanish/>
          <w:color w:val="000000"/>
          <w:sz w:val="20"/>
          <w:szCs w:val="18"/>
        </w:rPr>
      </w:pPr>
      <w:r>
        <w:rPr>
          <w:b/>
          <w:bCs/>
          <w:vanish/>
          <w:color w:val="000000"/>
          <w:sz w:val="20"/>
          <w:szCs w:val="18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Perfect Market Intelligence Reporting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HTML Driven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Buyers view decisions made by other buyers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Suppliers better understand buyer tradeoffs and information relative to their Market</w:t>
      </w:r>
    </w:p>
    <w:p>
      <w:pPr>
        <w:pStyle w:val="Normal"/>
        <w:rPr>
          <w:b/>
          <w:bCs/>
          <w:vanish/>
          <w:color w:val="000000"/>
          <w:sz w:val="20"/>
          <w:szCs w:val="18"/>
        </w:rPr>
      </w:pPr>
      <w:r>
        <w:rPr>
          <w:b/>
          <w:bCs/>
          <w:vanish/>
          <w:color w:val="000000"/>
          <w:sz w:val="20"/>
          <w:szCs w:val="18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ROI Analysis Tool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Application to show "quantifiable" savings based on an automated RFQ process</w:t>
      </w:r>
    </w:p>
    <w:p>
      <w:pPr>
        <w:pStyle w:val="Normal"/>
        <w:rPr>
          <w:b/>
          <w:bCs/>
          <w:vanish/>
          <w:color w:val="000000"/>
          <w:sz w:val="20"/>
          <w:szCs w:val="18"/>
        </w:rPr>
      </w:pPr>
      <w:r>
        <w:rPr>
          <w:b/>
          <w:bCs/>
          <w:vanish/>
          <w:color w:val="000000"/>
          <w:sz w:val="20"/>
          <w:szCs w:val="18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1"/>
        </w:rPr>
        <w:sym w:font="Wingdings" w:char="f06c"/>
      </w:r>
      <w:r>
        <w:rPr>
          <w:b/>
          <w:bCs/>
          <w:color w:val="000000"/>
          <w:sz w:val="20"/>
          <w:szCs w:val="18"/>
        </w:rPr>
        <w:t>Buyer Ratings Functionality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0"/>
        </w:rPr>
        <w:sym w:font="Wingdings" w:char="f06c"/>
      </w:r>
      <w:r>
        <w:rPr>
          <w:b/>
          <w:bCs/>
          <w:color w:val="000000"/>
          <w:sz w:val="20"/>
          <w:szCs w:val="16"/>
        </w:rPr>
        <w:t>Allow buyers to rate RFQ experience based on</w:t>
      </w:r>
    </w:p>
    <w:p>
      <w:pPr>
        <w:pStyle w:val="Normal"/>
        <w:ind w:start="720" w:end="0"/>
        <w:rPr/>
      </w:pPr>
      <w:r>
        <w:rPr>
          <w:b/>
          <w:bCs/>
          <w:color w:val="000000"/>
          <w:sz w:val="20"/>
          <w:szCs w:val="16"/>
        </w:rPr>
        <w:t>suppliers performance</w:t>
      </w:r>
      <w:r>
        <w:rPr>
          <w:b/>
          <w:bCs/>
          <w:color w:val="000000"/>
          <w:sz w:val="20"/>
          <w:szCs w:val="12"/>
        </w:rPr>
        <w:t xml:space="preserve"> </w:t>
      </w:r>
    </w:p>
    <w:p>
      <w:pPr>
        <w:pStyle w:val="Heading2"/>
        <w:ind w:hanging="0" w:start="0"/>
        <w:rPr>
          <w:b w:val="false"/>
          <w:bCs w:val="false"/>
          <w:color w:val="000000"/>
          <w:sz w:val="20"/>
          <w:szCs w:val="12"/>
        </w:rPr>
      </w:pPr>
      <w:r>
        <w:rPr>
          <w:b w:val="false"/>
          <w:bCs w:val="false"/>
          <w:color w:val="000000"/>
          <w:sz w:val="20"/>
          <w:szCs w:val="12"/>
        </w:rPr>
      </w:r>
    </w:p>
    <w:p>
      <w:pPr>
        <w:pStyle w:val="Heading2"/>
        <w:ind w:hanging="0" w:start="0"/>
        <w:rPr>
          <w:szCs w:val="12"/>
        </w:rPr>
      </w:pPr>
      <w:r>
        <w:rPr>
          <w:szCs w:val="12"/>
        </w:rPr>
        <w:t>Version 3.0</w:t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4"/>
        </w:rPr>
        <w:sym w:font="Wingdings" w:char="f06c"/>
      </w:r>
      <w:r>
        <w:rPr>
          <w:b/>
          <w:bCs/>
          <w:color w:val="000000"/>
          <w:sz w:val="20"/>
        </w:rPr>
        <w:t>Globally Enabled RFQ Solution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Multi currency support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Multi language support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Country independent buyer/supplier/NMM</w:t>
      </w:r>
    </w:p>
    <w:p>
      <w:pPr>
        <w:pStyle w:val="Normal"/>
        <w:rPr>
          <w:b/>
          <w:bCs/>
          <w:vanish/>
          <w:color w:val="000000"/>
          <w:sz w:val="20"/>
          <w:szCs w:val="20"/>
        </w:rPr>
      </w:pPr>
      <w:r>
        <w:rPr>
          <w:b/>
          <w:bCs/>
          <w:vanish/>
          <w:color w:val="000000"/>
          <w:sz w:val="20"/>
          <w:szCs w:val="20"/>
        </w:rPr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4"/>
        </w:rPr>
        <w:sym w:font="Wingdings" w:char="f06c"/>
      </w:r>
      <w:r>
        <w:rPr>
          <w:b/>
          <w:bCs/>
          <w:color w:val="000000"/>
          <w:sz w:val="20"/>
        </w:rPr>
        <w:t>Self Service Tool Set Capable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Market Definition Tool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NMM Administration Tool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>RFQ Design Tool (Buyer)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2"/>
        </w:rPr>
        <w:sym w:font="Wingdings" w:char="f06c"/>
      </w:r>
      <w:r>
        <w:rPr>
          <w:b/>
          <w:bCs/>
          <w:color w:val="000000"/>
          <w:sz w:val="20"/>
          <w:szCs w:val="20"/>
        </w:rPr>
        <w:t xml:space="preserve">UI Design Tool (Supplier) </w:t>
      </w:r>
    </w:p>
    <w:p>
      <w:pPr>
        <w:pStyle w:val="Heading2"/>
        <w:ind w:hanging="0" w:start="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Heading2"/>
        <w:ind w:hanging="0" w:start="0"/>
        <w:rPr/>
      </w:pPr>
      <w:r>
        <w:rPr/>
        <w:t>Version 4.0</w:t>
      </w:r>
    </w:p>
    <w:p>
      <w:pPr>
        <w:pStyle w:val="Normal"/>
        <w:rPr/>
      </w:pPr>
      <w:r>
        <w:rPr>
          <w:rFonts w:cs="Wingdings" w:ascii="Wingdings" w:hAnsi="Wingdings"/>
          <w:color w:val="3399FF"/>
          <w:sz w:val="20"/>
          <w:szCs w:val="19"/>
        </w:rPr>
        <w:sym w:font="Wingdings" w:char="f06c"/>
      </w:r>
      <w:r>
        <w:rPr>
          <w:b/>
          <w:bCs/>
          <w:color w:val="000000"/>
          <w:sz w:val="20"/>
          <w:szCs w:val="32"/>
        </w:rPr>
        <w:t>Combinatorial Bidding Enabled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9900CC"/>
          <w:sz w:val="20"/>
          <w:szCs w:val="17"/>
        </w:rPr>
        <w:sym w:font="Wingdings" w:char="f06c"/>
      </w:r>
      <w:r>
        <w:rPr>
          <w:b/>
          <w:bCs/>
          <w:color w:val="000000"/>
          <w:sz w:val="20"/>
          <w:szCs w:val="28"/>
        </w:rPr>
        <w:t>Multiple buyer/supplier matching capabilities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Cs/>
          <w:vanish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vanish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vanish/>
          <w:color w:val="000000"/>
        </w:rPr>
      </w:pPr>
      <w:r>
        <w:rPr>
          <w:rFonts w:cs="Times New Roman" w:ascii="Times New Roman" w:hAnsi="Times New Roman"/>
          <w:vanish/>
          <w:color w:val="000000"/>
        </w:rPr>
      </w:r>
    </w:p>
    <w:p>
      <w:pPr>
        <w:pStyle w:val="Normal"/>
        <w:rPr>
          <w:rFonts w:ascii="Times New Roman" w:hAnsi="Times New Roman" w:cs="Times New Roman"/>
          <w:vanish/>
          <w:color w:val="000000"/>
        </w:rPr>
      </w:pPr>
      <w:r>
        <w:rPr>
          <w:rFonts w:cs="Times New Roman" w:ascii="Times New Roman" w:hAnsi="Times New Roman"/>
          <w:vanish/>
          <w:color w:val="000000"/>
        </w:rPr>
      </w:r>
    </w:p>
    <w:p>
      <w:pPr>
        <w:pStyle w:val="Normal"/>
        <w:ind w:start="720" w:end="0"/>
        <w:rPr>
          <w:rFonts w:ascii="Times New Roman" w:hAnsi="Times New Roman" w:cs="Times New Roman"/>
          <w:vanish/>
          <w:color w:val="000000"/>
          <w:sz w:val="20"/>
          <w:szCs w:val="20"/>
        </w:rPr>
      </w:pPr>
      <w:r>
        <w:rPr>
          <w:rFonts w:cs="Times New Roman" w:ascii="Times New Roman" w:hAnsi="Times New Roman"/>
          <w:vanish/>
          <w:color w:val="000000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vanish/>
          <w:color w:val="000000"/>
          <w:sz w:val="20"/>
          <w:szCs w:val="20"/>
        </w:rPr>
      </w:pPr>
      <w:r>
        <w:rPr>
          <w:rFonts w:cs="Times New Roman" w:ascii="Times New Roman" w:hAnsi="Times New Roman"/>
          <w:vanish/>
          <w:color w:val="000000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color w:val="FF0000"/>
      <w:szCs w:val="1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0000"/>
      <w:sz w:val="20"/>
      <w:szCs w:val="19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2000-05-08T23:52:00Z</dcterms:created>
  <dc:creator>.</dc:creator>
  <dc:description/>
  <dc:language>en-CA</dc:language>
  <cp:lastModifiedBy>.</cp:lastModifiedBy>
  <dcterms:modified xsi:type="dcterms:W3CDTF">2000-05-08T23:56:00Z</dcterms:modified>
  <cp:revision>2</cp:revision>
  <dc:subject/>
  <dc:title>Version 1</dc:title>
</cp:coreProperties>
</file>